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djustRightInd w:val="0"/>
        <w:snapToGrid w:val="0"/>
        <w:spacing w:line="560" w:lineRule="exact"/>
        <w:rPr>
          <w:rFonts w:ascii="黑体" w:hAnsi="黑体" w:eastAsia="黑体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</w:rPr>
        <w:t>本次检验项目</w:t>
      </w:r>
    </w:p>
    <w:p>
      <w:pPr>
        <w:numPr>
          <w:numId w:val="0"/>
        </w:numPr>
        <w:adjustRightInd w:val="0"/>
        <w:snapToGrid w:val="0"/>
        <w:spacing w:line="56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000000"/>
          <w:sz w:val="32"/>
          <w:szCs w:val="32"/>
          <w:lang w:eastAsia="zh-CN"/>
        </w:rPr>
        <w:t>一</w:t>
      </w:r>
      <w:r>
        <w:rPr>
          <w:rFonts w:hint="eastAsia" w:ascii="黑体" w:hAnsi="黑体" w:eastAsia="黑体"/>
          <w:color w:val="000000"/>
          <w:sz w:val="32"/>
          <w:szCs w:val="32"/>
        </w:rPr>
        <w:t>、</w:t>
      </w:r>
      <w:r>
        <w:rPr>
          <w:rFonts w:hint="eastAsia" w:ascii="黑体" w:hAnsi="黑体" w:eastAsia="黑体"/>
          <w:color w:val="000000"/>
          <w:sz w:val="32"/>
          <w:szCs w:val="32"/>
          <w:lang w:eastAsia="zh-CN"/>
        </w:rPr>
        <w:t>食用农产品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楷体_GB2312" w:hAnsi="黑体" w:eastAsia="楷体_GB2312"/>
          <w:color w:val="000000"/>
          <w:sz w:val="32"/>
          <w:szCs w:val="32"/>
        </w:rPr>
      </w:pPr>
      <w:r>
        <w:rPr>
          <w:rFonts w:hint="eastAsia" w:ascii="楷体_GB2312" w:hAnsi="黑体" w:eastAsia="楷体_GB2312"/>
          <w:color w:val="000000"/>
          <w:sz w:val="32"/>
          <w:szCs w:val="32"/>
        </w:rPr>
        <w:t>（一）抽检依据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《食品安全国家标准 食品中污染物限量》（</w:t>
      </w:r>
      <w:r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  <w:t>GB 2762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）、《食品安</w:t>
      </w:r>
      <w:r>
        <w:rPr>
          <w:rFonts w:hint="eastAsia" w:ascii="仿宋_GB2312" w:eastAsia="仿宋_GB2312"/>
          <w:color w:val="000000"/>
          <w:sz w:val="32"/>
          <w:szCs w:val="32"/>
        </w:rPr>
        <w:t>全国家标准 食品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中农药最大残留限量》（</w:t>
      </w:r>
      <w:r>
        <w:rPr>
          <w:rFonts w:hint="eastAsia" w:ascii="仿宋_GB2312" w:eastAsia="仿宋_GB2312"/>
          <w:color w:val="000000"/>
          <w:sz w:val="32"/>
          <w:szCs w:val="32"/>
        </w:rPr>
        <w:t>GB276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）、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《食品安全国家标准 鲜、冻动物性水产品》（</w:t>
      </w:r>
      <w:r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  <w:t>GB 2733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 xml:space="preserve">）、《食品动物中禁止使用的药品及其他化合物清单》（农业农村部公告 第 </w:t>
      </w:r>
      <w:r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  <w:t xml:space="preserve">250 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号）、《动物性食品中兽药最高残留限量》（农业部公告 第 235 号）、《食品安全国家标准 食品中兽药最大残留限量》（</w:t>
      </w:r>
      <w:r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  <w:t>GB 31650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 xml:space="preserve">）、《在食品动物中停止使用洛美沙星、培氟沙星、氧氟沙星、诺氟沙星 </w:t>
      </w:r>
      <w:r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  <w:t xml:space="preserve">4 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种兽药的决定》（农业部公告 第</w:t>
      </w:r>
      <w:r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  <w:t xml:space="preserve">2292 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号）</w:t>
      </w:r>
      <w:r>
        <w:rPr>
          <w:rFonts w:hint="eastAsia" w:ascii="仿宋_GB2312" w:eastAsia="仿宋_GB2312"/>
          <w:color w:val="000000"/>
          <w:sz w:val="32"/>
          <w:szCs w:val="32"/>
        </w:rPr>
        <w:t>等标准及产品明示标准和指标的要求。</w:t>
      </w:r>
    </w:p>
    <w:p>
      <w:pPr>
        <w:numPr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黑体" w:eastAsia="楷体_GB2312"/>
          <w:color w:val="000000"/>
          <w:sz w:val="32"/>
          <w:szCs w:val="32"/>
          <w:lang w:eastAsia="zh-CN"/>
        </w:rPr>
        <w:t>（二）</w:t>
      </w:r>
      <w:r>
        <w:rPr>
          <w:rFonts w:hint="eastAsia" w:ascii="楷体_GB2312" w:hAnsi="黑体" w:eastAsia="楷体_GB2312"/>
          <w:color w:val="000000"/>
          <w:sz w:val="32"/>
          <w:szCs w:val="32"/>
        </w:rPr>
        <w:t>检验项目</w:t>
      </w:r>
    </w:p>
    <w:p>
      <w:pPr>
        <w:widowControl/>
        <w:wordWrap/>
        <w:adjustRightInd/>
        <w:snapToGrid/>
        <w:ind w:firstLine="640" w:firstLineChars="200"/>
        <w:jc w:val="left"/>
        <w:textAlignment w:val="auto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 xml:space="preserve">1、海水鱼检验项目包括挥发性盐基氮、组胺、镉（以Cd计） </w:t>
      </w:r>
      <w:bookmarkStart w:id="0" w:name="_GoBack"/>
      <w:bookmarkEnd w:id="0"/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、孔雀石绿、氯霉素、氟苯尼考、呋喃唑酮代谢物、呋喃西林代谢物、恩诺沙星、氧氟沙星、培氟沙星、诺氟沙星、土霉素、磺胺类（总量）、甲氧苄啶、地西泮、甲硝唑、五氯酚酸钠（以五氯酚计）。</w:t>
      </w:r>
    </w:p>
    <w:p>
      <w:pPr>
        <w:widowControl/>
        <w:wordWrap/>
        <w:adjustRightInd/>
        <w:snapToGrid/>
        <w:ind w:firstLine="640" w:firstLineChars="200"/>
        <w:jc w:val="left"/>
        <w:textAlignment w:val="auto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2、淡水鱼检验项目包括挥发性盐基氮、孔雀石绿、氯霉素、氟苯尼考、呋喃唑酮代谢物、呋喃西林代谢物、恩诺沙星、氧氟沙星、培氟沙星、诺氟沙星、磺胺类（总量）、甲氧苄啶、地西泮、五氯酚酸钠（以五氯酚计）。</w:t>
      </w:r>
    </w:p>
    <w:p>
      <w:pPr>
        <w:widowControl/>
        <w:wordWrap/>
        <w:adjustRightInd/>
        <w:snapToGrid/>
        <w:ind w:firstLine="640" w:firstLineChars="200"/>
        <w:jc w:val="left"/>
        <w:textAlignment w:val="auto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3、海水虾检验项目包括挥发性盐基氮、镉（以Cd计）、孔雀石绿、氯霉素、氟苯尼考、呋喃唑酮代谢物、呋喃西林代谢物、呋喃妥因代谢物、恩诺沙星、氧氟沙星、培氟沙星、诺氟沙星、四环素、金霉素、土霉素、五氯酚酸钠（以五氯酚计）。</w:t>
      </w:r>
    </w:p>
    <w:p>
      <w:pPr>
        <w:widowControl/>
        <w:wordWrap/>
        <w:adjustRightInd/>
        <w:snapToGrid/>
        <w:ind w:firstLine="640" w:firstLineChars="200"/>
        <w:jc w:val="left"/>
        <w:textAlignment w:val="auto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4、贝类检验项目包括镉（以Cd计）、孔雀石绿、氯霉素、氟苯尼考、呋喃唑酮代谢物、呋喃西林代谢物、恩诺沙星、氧氟沙星、培氟沙星、诺氟沙星。</w:t>
      </w:r>
    </w:p>
    <w:p>
      <w:pPr>
        <w:widowControl/>
        <w:wordWrap/>
        <w:adjustRightInd/>
        <w:snapToGrid/>
        <w:ind w:firstLine="640" w:firstLineChars="200"/>
        <w:jc w:val="left"/>
        <w:textAlignment w:val="auto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5、其他水产品检验项目包括镉（以Cd计）、孔雀石绿、氯霉素、呋喃唑酮代谢物、呋喃西林代谢物、恩诺沙星、氧氟沙星、培氟沙星、诺氟沙星。</w:t>
      </w:r>
    </w:p>
    <w:p>
      <w:pPr>
        <w:widowControl/>
        <w:ind w:firstLine="640" w:firstLineChars="200"/>
        <w:jc w:val="left"/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6、韭菜检验项目包括腐霉利、毒死蜱、氧乐果、克百威、甲拌磷、氯氰菊酯和高效氯氰菊酯、氟虫腈。</w:t>
      </w:r>
    </w:p>
    <w:sectPr>
      <w:footerReference r:id="rId4" w:type="default"/>
      <w:pgSz w:w="11906" w:h="16838"/>
      <w:pgMar w:top="1757" w:right="1531" w:bottom="1757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5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attachedTemplate r:id="rId1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annotation subject"/>
    <w:lsdException w:qFormat="1" w:uiPriority="99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/>
    </w:rPr>
  </w:style>
  <w:style w:type="character" w:default="1" w:styleId="7">
    <w:name w:val="Default Paragraph Font"/>
    <w:semiHidden/>
    <w:unhideWhenUsed/>
    <w:qFormat/>
    <w:uiPriority w:val="1"/>
  </w:style>
  <w:style w:type="paragraph" w:styleId="4">
    <w:name w:val="Balloon Text"/>
    <w:basedOn w:val="1"/>
    <w:link w:val="13"/>
    <w:unhideWhenUsed/>
    <w:qFormat/>
    <w:uiPriority w:val="99"/>
    <w:rPr>
      <w:sz w:val="16"/>
      <w:szCs w:val="16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List Paragraph1"/>
    <w:basedOn w:val="1"/>
    <w:qFormat/>
    <w:uiPriority w:val="34"/>
    <w:pPr>
      <w:ind w:firstLine="420" w:firstLineChars="200"/>
    </w:p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仿宋_GB2312" w:eastAsia="宋体" w:cs="仿宋_GB2312"/>
      <w:color w:val="000000"/>
      <w:sz w:val="24"/>
      <w:szCs w:val="24"/>
      <w:lang w:val="en-US" w:eastAsia="zh-CN" w:bidi="ar-SA"/>
    </w:rPr>
  </w:style>
  <w:style w:type="character" w:customStyle="1" w:styleId="10">
    <w:name w:val="页眉 Char"/>
    <w:basedOn w:val="7"/>
    <w:link w:val="6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5"/>
    <w:qFormat/>
    <w:uiPriority w:val="99"/>
    <w:rPr>
      <w:sz w:val="18"/>
      <w:szCs w:val="18"/>
    </w:rPr>
  </w:style>
  <w:style w:type="character" w:customStyle="1" w:styleId="12">
    <w:name w:val="标题 1 Char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批注框文本 Char"/>
    <w:basedOn w:val="7"/>
    <w:link w:val="4"/>
    <w:semiHidden/>
    <w:qFormat/>
    <w:uiPriority w:val="99"/>
    <w:rPr>
      <w:kern w:val="2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39135;&#32508;&#22788;\Desktop\&#31532;&#21313;&#19971;&#26399;\&#26412;&#27425;&#26816;&#39564;&#39033;&#30446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本次检验项目</Template>
  <Company>http://sdwm.org</Company>
  <Pages>2</Pages>
  <Words>164</Words>
  <Characters>937</Characters>
  <Lines>7</Lines>
  <Paragraphs>2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2017-04-24T08:33:00Z</dcterms:created>
  <dc:creator>食综处</dc:creator>
  <cp:lastModifiedBy>食综处</cp:lastModifiedBy>
  <cp:lastPrinted>2019-06-06T07:48:00Z</cp:lastPrinted>
  <dcterms:modified xsi:type="dcterms:W3CDTF">2020-08-07T02:13:50Z</dcterms:modified>
  <dc:title>本次检验项目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