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default" w:ascii="宋体" w:hAnsi="宋体" w:eastAsia="方正黑体_GBK" w:cs="宋体"/>
          <w:spacing w:val="-11"/>
          <w:sz w:val="32"/>
          <w:szCs w:val="44"/>
          <w:lang w:val="en-US" w:eastAsia="zh-CN"/>
        </w:rPr>
      </w:pPr>
      <w:r>
        <w:rPr>
          <w:rFonts w:hint="eastAsia" w:ascii="宋体" w:hAnsi="宋体" w:eastAsia="方正黑体_GBK" w:cs="宋体"/>
          <w:spacing w:val="-11"/>
          <w:sz w:val="32"/>
          <w:szCs w:val="44"/>
          <w:lang w:val="en-US" w:eastAsia="zh-CN"/>
        </w:rPr>
        <w:t>附件4</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spacing w:val="-11"/>
          <w:sz w:val="44"/>
          <w:szCs w:val="44"/>
        </w:rPr>
      </w:pPr>
      <w:r>
        <w:rPr>
          <w:rFonts w:hint="eastAsia" w:ascii="宋体" w:hAnsi="宋体" w:eastAsia="方正小标宋_GBK" w:cs="宋体"/>
          <w:spacing w:val="-11"/>
          <w:sz w:val="44"/>
          <w:szCs w:val="44"/>
        </w:rPr>
        <w:t>部分不合格检验项目小知识</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spacing w:val="-11"/>
          <w:sz w:val="44"/>
          <w:szCs w:val="44"/>
        </w:rPr>
      </w:pP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color w:val="FF0000"/>
          <w:spacing w:val="-11"/>
          <w:sz w:val="32"/>
          <w:szCs w:val="32"/>
          <w:lang w:val="en-US" w:eastAsia="zh-CN"/>
        </w:rPr>
      </w:pPr>
      <w:r>
        <w:rPr>
          <w:rFonts w:hint="eastAsia" w:ascii="宋体" w:hAnsi="宋体" w:eastAsia="方正黑体_GBK" w:cs="宋体"/>
          <w:spacing w:val="-11"/>
          <w:sz w:val="32"/>
          <w:szCs w:val="32"/>
        </w:rPr>
        <w:t>一、</w:t>
      </w:r>
      <w:r>
        <w:rPr>
          <w:rFonts w:hint="eastAsia" w:ascii="宋体" w:hAnsi="宋体" w:eastAsia="方正黑体_GBK" w:cs="宋体"/>
          <w:spacing w:val="-11"/>
          <w:sz w:val="32"/>
          <w:szCs w:val="32"/>
          <w:lang w:val="en-US" w:eastAsia="zh-CN"/>
        </w:rPr>
        <w:t>菌落总数</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菌落总数就是指在一定条件下（如需氧情况、营养条件、pH、培养温度和时间等）每克（每毫升）检样所生长出来的细菌菌落总数。菌落总数是指示性微生物指标，不是致病菌指标，反映食品在生产过程中的卫生状况。如果食品的菌落总数严重超标，将会破坏食品的营养成分，使食品失去食用价值；还会加速食品腐败变质，可能危害人体健康。《食品安全国家标准 饮料》（GB 7101—2015）中规定，饮料同一批次产品5个样品中菌落总数的检测结果均不得超过10</w:t>
      </w:r>
      <w:r>
        <w:rPr>
          <w:rFonts w:hint="eastAsia" w:ascii="宋体" w:hAnsi="宋体" w:eastAsia="方正仿宋_GBK" w:cs="宋体"/>
          <w:kern w:val="2"/>
          <w:sz w:val="32"/>
          <w:szCs w:val="32"/>
          <w:vertAlign w:val="superscript"/>
          <w:lang w:val="en-US" w:eastAsia="zh-CN" w:bidi="ar-SA"/>
        </w:rPr>
        <w:t>4</w:t>
      </w:r>
      <w:r>
        <w:rPr>
          <w:rFonts w:hint="eastAsia" w:ascii="宋体" w:hAnsi="宋体" w:eastAsia="方正仿宋_GBK" w:cs="宋体"/>
          <w:kern w:val="2"/>
          <w:sz w:val="32"/>
          <w:szCs w:val="32"/>
          <w:lang w:val="en-US" w:eastAsia="zh-CN" w:bidi="ar-SA"/>
        </w:rPr>
        <w:t>CFU/mL，且最多允许2个样品的检测结果超过10</w:t>
      </w:r>
      <w:r>
        <w:rPr>
          <w:rFonts w:hint="eastAsia" w:ascii="宋体" w:hAnsi="宋体" w:eastAsia="方正仿宋_GBK" w:cs="宋体"/>
          <w:kern w:val="2"/>
          <w:sz w:val="32"/>
          <w:szCs w:val="32"/>
          <w:vertAlign w:val="superscript"/>
          <w:lang w:val="en-US" w:eastAsia="zh-CN" w:bidi="ar-SA"/>
        </w:rPr>
        <w:t>2</w:t>
      </w:r>
      <w:r>
        <w:rPr>
          <w:rFonts w:hint="eastAsia" w:ascii="宋体" w:hAnsi="宋体" w:eastAsia="方正仿宋_GBK" w:cs="宋体"/>
          <w:kern w:val="2"/>
          <w:sz w:val="32"/>
          <w:szCs w:val="32"/>
          <w:lang w:val="en-US" w:eastAsia="zh-CN" w:bidi="ar-SA"/>
        </w:rPr>
        <w:t>CFU/mL；《食品安全国家标准 糕点、面包》（GB 7099—2015）中规定，糕点同一批次5个样品中菌落总数的检测结果均不得超过10</w:t>
      </w:r>
      <w:r>
        <w:rPr>
          <w:rFonts w:hint="eastAsia" w:ascii="宋体" w:hAnsi="宋体" w:eastAsia="方正仿宋_GBK" w:cs="宋体"/>
          <w:kern w:val="2"/>
          <w:sz w:val="32"/>
          <w:szCs w:val="32"/>
          <w:vertAlign w:val="superscript"/>
          <w:lang w:val="en-US" w:eastAsia="zh-CN" w:bidi="ar-SA"/>
        </w:rPr>
        <w:t>5</w:t>
      </w:r>
      <w:r>
        <w:rPr>
          <w:rFonts w:hint="eastAsia" w:ascii="宋体" w:hAnsi="宋体" w:eastAsia="方正仿宋_GBK" w:cs="宋体"/>
          <w:kern w:val="2"/>
          <w:sz w:val="32"/>
          <w:szCs w:val="32"/>
          <w:lang w:val="en-US" w:eastAsia="zh-CN" w:bidi="ar-SA"/>
        </w:rPr>
        <w:t>CFU/g，且最多允许2个样品的检测结果超过10</w:t>
      </w:r>
      <w:r>
        <w:rPr>
          <w:rFonts w:hint="eastAsia" w:ascii="宋体" w:hAnsi="宋体" w:eastAsia="方正仿宋_GBK" w:cs="宋体"/>
          <w:kern w:val="2"/>
          <w:sz w:val="32"/>
          <w:szCs w:val="32"/>
          <w:vertAlign w:val="superscript"/>
          <w:lang w:val="en-US" w:eastAsia="zh-CN" w:bidi="ar-SA"/>
        </w:rPr>
        <w:t>4</w:t>
      </w:r>
      <w:r>
        <w:rPr>
          <w:rFonts w:hint="eastAsia" w:ascii="宋体" w:hAnsi="宋体" w:eastAsia="方正仿宋_GBK" w:cs="宋体"/>
          <w:kern w:val="2"/>
          <w:sz w:val="32"/>
          <w:szCs w:val="32"/>
          <w:lang w:val="en-US" w:eastAsia="zh-CN" w:bidi="ar-SA"/>
        </w:rPr>
        <w:t>CFU/g。饮料、糕点中菌落总数超标的原因，可能是企业未按要求严格控制生产加工过程的卫生条件，也可能与产品包装密封不严或储运条件不当等有关。</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二</w:t>
      </w:r>
      <w:r>
        <w:rPr>
          <w:rFonts w:hint="eastAsia" w:ascii="宋体" w:hAnsi="宋体" w:eastAsia="方正黑体_GBK" w:cs="宋体"/>
          <w:spacing w:val="-11"/>
          <w:sz w:val="32"/>
          <w:szCs w:val="32"/>
        </w:rPr>
        <w:t>、</w:t>
      </w:r>
      <w:r>
        <w:rPr>
          <w:rFonts w:hint="eastAsia" w:ascii="宋体" w:hAnsi="宋体" w:eastAsia="方正黑体_GBK" w:cs="宋体"/>
          <w:spacing w:val="-11"/>
          <w:sz w:val="32"/>
          <w:szCs w:val="32"/>
          <w:lang w:val="en-US" w:eastAsia="zh-CN"/>
        </w:rPr>
        <w:t>大肠菌群</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eastAsia"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大肠菌群是国内外常用的指示性指标之一。食品中大肠菌群不合格，说明食品存在卫生质量缺陷，对人体健康具有潜在危害。《食品安全国家标准 包装饮用水》（GB 19298—2014）中规定，同一批次样品5次检测结果均不得检出大肠菌群。大肠菌群超标的原因可能有：由于产品的加工原料、包装材料受污染，或在生产过程中产品受人员、工器具等生产设备、环境的污染，需加热处理工艺的产品加热不彻底而导致，产品包装、运输和销售环境不达标也有可能导致产品被大肠菌群污染。</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三、铜绿假单胞菌</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eastAsia"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铜绿假单胞菌是一种条件致病菌，广泛分布于水、空气、正常人的皮肤、呼吸道和肠道等，易在潮湿的环境存活，对消毒剂、紫外线等具有较强的抵抗力。铜绿假单胞菌对于免疫力较弱的人群健康风险较大。《食品安全国家标准 包装饮用水》（GB 19298—2014）中规定，包装饮用水同一批次产品5个样品中铜绿假单胞菌的检测结果均为不得检出。包装饮用水中检出铜绿假单胞菌的原因，可能是源水防护不当，水体受到污染；也可能是生产过程中卫生控制不严格；还可能是包装材料清洗消毒有缺陷所致。</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四、苯甲酸及其钠盐</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苯甲酸及其钠盐（以苯甲酸计）是食品工业中常见的防腐保鲜剂，对霉菌、酵母和细菌有较好的抑制作用。苯甲酸及其钠盐（以苯甲酸计）的安全性较高，少量苯甲酸对人体无毒害，可随尿液排出体外，在人体内不会蓄积。若长期过量食入苯甲酸超标的食品可能会对肝脏功能产生一定影响。《食品安全国家标准 食品添加剂使用标准》（GB 2760—2014）中规定，苯甲酸及其钠盐在</w:t>
      </w:r>
      <w:r>
        <w:rPr>
          <w:rFonts w:hint="eastAsia" w:ascii="宋体" w:hAnsi="宋体" w:eastAsia="方正仿宋_GBK" w:cs="宋体"/>
          <w:kern w:val="2"/>
          <w:sz w:val="32"/>
          <w:szCs w:val="32"/>
          <w:lang w:val="en-US" w:eastAsia="zh-CN" w:bidi="ar-SA"/>
        </w:rPr>
        <w:t>果冻中不得使用。果冻中检出苯甲酸及其钠盐的原因可能是生产企业为延长产品保质期，或者弥补产品生产过程卫生条件不佳而超范围使用。</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五、霉菌</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霉菌是评价食品卫生质量的指示性指标。食品中霉菌数是指食品检样经过处理，在一定条件下培养后，计数所得1g或1mL检样中所形成的霉菌菌落数。如果食品中的霉菌严重超标，将会破坏食品的营养成分，使食品失去食用价值，还可能产生霉菌毒素；长期食用霉菌超标的食品，可能危害人体健康。《食品安全国家标准 糕点、面包》（GB 7099—2015）中规定，糕点</w:t>
      </w:r>
      <w:r>
        <w:rPr>
          <w:rFonts w:hint="eastAsia" w:ascii="宋体" w:hAnsi="宋体" w:eastAsia="方正仿宋_GBK" w:cs="宋体"/>
          <w:kern w:val="2"/>
          <w:sz w:val="32"/>
          <w:szCs w:val="32"/>
          <w:lang w:val="en-US" w:eastAsia="zh-CN" w:bidi="ar-SA"/>
        </w:rPr>
        <w:t>中，霉菌的最大限量值为150CFU/g</w:t>
      </w:r>
      <w:r>
        <w:rPr>
          <w:rFonts w:hint="default" w:ascii="宋体" w:hAnsi="宋体" w:eastAsia="方正仿宋_GBK" w:cs="宋体"/>
          <w:kern w:val="2"/>
          <w:sz w:val="32"/>
          <w:szCs w:val="32"/>
          <w:lang w:val="en-US" w:eastAsia="zh-CN" w:bidi="ar-SA"/>
        </w:rPr>
        <w:t>。食品中霉菌超标的原因，可能是原料发霉或原料、包装材料受到霉菌污染，也可能是产品在生产加工过程中卫生条件控制不到位，还可能与产品储运条件不当有关。</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六、过氧化值</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过氧化值主要反映油脂的被氧化程度，是油脂酸败的早期指标。食用过氧化值超标的食品一般不会对人体健康造成损害，但长期食用严重超标的食品可能导致肠胃不适、腹泻等。《食品安全地方标准 鲜花饼》（DBS53/019—2014）中规定，鲜花饼中过氧化值（以脂肪计）的最大限量值为0.25g/100g。检测值超标的原因，可能是产品用油已经变质，也可能是原料中的脂肪已经被氧化，还可能与产品储存条件控制不当有关。</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七、酒精度</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酒精度又叫酒度，是指在20℃时，100毫升酒中含有乙醇（酒精）的毫升数，即体积（容量）的百分数。酒精度是酒类产品的一个重要理化指标，含量不达标主要影响产品的品质。《露酒》（GB/T 27588—2011）中规定，酒精度实测值与标签标示值允许差为±1.0%vol。酒类中酒精度未达到产品标签明示要求的原因，可能是个别企业生产工艺控制不严格或生产工艺水平较低，无法准确控制酒精度；也可能是生产企业检验器具未检定或检验过程不规范，造成检验结果有偏差。</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八、总汞</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汞是一种毒性较大、熔点低、易挥发的银色液体金属，俗称水银。食品中的汞元素以金属汞、无机汞、有机汞的形态存在。其对人体的毒性大小与其存在形态密切相关。汞离子可对肾脏细胞产生毒性作用；有机汞主要损伤脑和神经系统，对胎儿中枢神经发育有不良影响。</w:t>
      </w:r>
      <w:r>
        <w:rPr>
          <w:rFonts w:hint="default" w:ascii="宋体" w:hAnsi="宋体" w:eastAsia="方正仿宋_GBK" w:cs="宋体"/>
          <w:kern w:val="2"/>
          <w:sz w:val="32"/>
          <w:szCs w:val="32"/>
          <w:lang w:val="en-US" w:eastAsia="zh-CN" w:bidi="ar-SA"/>
        </w:rPr>
        <w:t>《食品安全国家标准 食品中污染物限量》（GB 2762—2017）中</w:t>
      </w:r>
      <w:bookmarkStart w:id="0" w:name="_GoBack"/>
      <w:bookmarkEnd w:id="0"/>
      <w:r>
        <w:rPr>
          <w:rFonts w:hint="default" w:ascii="宋体" w:hAnsi="宋体" w:eastAsia="方正仿宋_GBK" w:cs="宋体"/>
          <w:kern w:val="2"/>
          <w:sz w:val="32"/>
          <w:szCs w:val="32"/>
          <w:lang w:val="en-US" w:eastAsia="zh-CN" w:bidi="ar-SA"/>
        </w:rPr>
        <w:t>规定，</w:t>
      </w:r>
      <w:r>
        <w:rPr>
          <w:rFonts w:hint="eastAsia" w:ascii="宋体" w:hAnsi="宋体" w:eastAsia="方正仿宋_GBK" w:cs="宋体"/>
          <w:kern w:val="2"/>
          <w:sz w:val="32"/>
          <w:szCs w:val="32"/>
          <w:lang w:val="en-US" w:eastAsia="zh-CN" w:bidi="ar-SA"/>
        </w:rPr>
        <w:t>总汞在食用菌及其制品中的限量为0.1mg/kg，干制品中污染物限量以相应新鲜食品中污染物限量结合其脱水率或浓缩率折算。造成汞污染的原因可能是含汞农药的使用和废水灌溉农田等途径污染作物。</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九、铅</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铅是一种常见的重金属元素污染物。长期食用铅含量超标的食品，可能会对人体的血液系统、神经系统产生损害，尤其对儿童生长和智力发育的影响较大。《食品安全国家标准 食品中污染物限量》（GB 2762—2017）中规定，铅（以Pb计）在新鲜蔬菜（芸薹类蔬菜、叶菜蔬菜、豆类蔬菜、薯类除外）中的限量值为0.1mg/kg，干制品中污染物限量以相应新鲜食品中污染物限量结合其脱水率或浓缩率折算。蔬菜干制品中铅（以Pb计）检测值超标的原因，可能是生产企业使用的蔬菜原料中铅含量超标，也可能是生产设备或包装材料中的铅迁移带入。</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十、甜蜜素</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甜蜜素，化学名称为环己基氨基磺酸钠，是食品生产中常用的甜味剂之一，其甜度是蔗糖的40~50倍。长期摄入甜蜜素超标的食品，可能对人体的肝脏和神经系统造成一定危害。《食品安全国家标准 食品添加剂使用标准》（GB 2760—2014）中规定，白酒中不得使用甜蜜素。白酒中检出甜蜜素的原因，可能是生产单位原辅料使用不当或生产环节把关不严，原辅料中含有甜味剂而带入到酒中；也可能是生产单位为降低生产成本，改善产品的口感，在产品中超范围使用甜蜜素来调节口感。</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十一、二氧化硫残留量</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二氧化硫（以及焦亚硫酸钾、亚硫酸钠等添加剂）对食品有漂白、防腐和抗氧化作用，使用后均产生二氧化硫残留。二氧化硫进入人体后最终转化为硫酸盐并随尿液排出体外，一般不会对人体健康造成不良影响，但如果长期过量摄入二氧化硫，可能会对健康不利。《食品安全国家标准 食品添加剂使用标准》（GB 2760—2014）中规定，蔬菜干制品中二氧化硫残留量不得超过0.2g/kg。蔬菜干制品中二氧化硫残留量超标的原因，可能是生产企业为了改善蔬菜干制品的色泽，从而超量使用二氧化硫，也有可能是使用时不计量或计量不准确。</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十二、铝的残留量</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含铝食品添加剂，比如硫酸铝钾（又名钾明矾）、硫酸铝铵（又名铵明矾）等，在食品中作为膨松剂、稳定剂使用，使用后会产生铝残留。含铝食品添加剂按标准使用不会对健康造成危害，但长期食用铝超标的食品会导致运动和学习记忆能力下降，影响儿童智力发育。《食品安全国家标准 食品添加剂使用标准》（GB 2760—2014）中规定，油炸面制品中铝的最大残留限量值为100mg/kg。</w:t>
      </w:r>
      <w:r>
        <w:rPr>
          <w:rFonts w:hint="eastAsia" w:ascii="宋体" w:hAnsi="宋体" w:eastAsia="方正仿宋_GBK" w:cs="宋体"/>
          <w:kern w:val="2"/>
          <w:sz w:val="32"/>
          <w:szCs w:val="32"/>
          <w:lang w:val="en-US" w:eastAsia="zh-CN" w:bidi="ar-SA"/>
        </w:rPr>
        <w:t>油条</w:t>
      </w:r>
      <w:r>
        <w:rPr>
          <w:rFonts w:hint="default" w:ascii="宋体" w:hAnsi="宋体" w:eastAsia="方正仿宋_GBK" w:cs="宋体"/>
          <w:kern w:val="2"/>
          <w:sz w:val="32"/>
          <w:szCs w:val="32"/>
          <w:lang w:val="en-US" w:eastAsia="zh-CN" w:bidi="ar-SA"/>
        </w:rPr>
        <w:t>中铝的残留量（干样品，以Al计）超标的原因，可能是个别企业为增加产品口感，在生产加工过程中超限量使用含铝添加剂；也可能是企业使用的复配添加剂中铝含量过高；或使用了受环境影响有较高铝含量的原料。</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十三、腈苯唑</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腈苯唑又叫唑菌腈、苯腈唑，是三唑类内吸杀菌剂。《食品安全国家标准 食品中农药最大残留限量》（GB 2763—2021）中规定，腈苯唑在香蕉中的最大残留限量值为0.05mg/kg。香蕉中腈苯唑超标的原因，可能是种植户对使用农药的安全间隔期不了解，从而违规使用农药。</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十四、吡虫啉</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吡虫啉是烟碱类超高效杀虫剂，害虫接触药剂后，中枢神经正常传导受阻，使其麻痹死亡。一旦食用残留严重超标的果蔬产品，易对人体造成急性、慢性中毒，导致癌症、畸形等危害。《食品安全国家标准食品中农药最大残留限量》（GB2763—2021）中规定，吡虫啉在香蕉中的最大残留限量值为0.05mg/kg。香蕉中吡虫啉超标，原因可能是为快速控制虫害加大用药量，或未遵守采摘间隔期规定，致使上市销售时产品中的药物残留量未降解至标准限量以下。</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十五、啶虫脒</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啶虫脒内吸性杀虫剂，急性毒性分级为中等毒。烟碱类杀虫剂，作为错误的神递质与乙酰胆碱受体结合，干扰神经系统中起重要作用的乙酰胆碱的正常功能，使神经传输保持开放状态，引起异常兴奋。中毒症状为恶心、呕吐、头痛、乏力、心跳过速等。长期食用啶虫脒超标的食品，对人体健康也有一定影响。《食品安全国家标准 食品中农药最大残留限量》（GB 2763—2021）中规定，啶虫脒在茄果类蔬菜（番茄、茄子除外）中的最大残留限量为0.2mg/kg。</w:t>
      </w:r>
      <w:r>
        <w:rPr>
          <w:rFonts w:hint="eastAsia" w:ascii="宋体" w:hAnsi="宋体" w:eastAsia="方正仿宋_GBK" w:cs="宋体"/>
          <w:kern w:val="2"/>
          <w:sz w:val="32"/>
          <w:szCs w:val="32"/>
          <w:lang w:val="en-US" w:eastAsia="zh-CN" w:bidi="ar-SA"/>
        </w:rPr>
        <w:t>辣椒中</w:t>
      </w:r>
      <w:r>
        <w:rPr>
          <w:rFonts w:hint="default" w:ascii="宋体" w:hAnsi="宋体" w:eastAsia="方正仿宋_GBK" w:cs="宋体"/>
          <w:kern w:val="2"/>
          <w:sz w:val="32"/>
          <w:szCs w:val="32"/>
          <w:lang w:val="en-US" w:eastAsia="zh-CN" w:bidi="ar-SA"/>
        </w:rPr>
        <w:t>啶虫脒残留超标的原因可能是农产品种植者为加强防病效果超量使用农药；也可能是种植户未严格按照农药安全间隔期，提前采收农作物。</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十六、甲氨基阿维菌素苯甲酸盐</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甲氨基阿维菌素苯甲酸盐是一种非内吸性杀虫剂，具有触杀、胃毒和组织渗透作用，主要用于防治蔬菜、芸薹属植物、果树、玉米、茶树、葡萄和棉花中的鳞翅类害虫。少量的残留不会引起人体急性中毒，但长期食用甲氨基阿维菌素苯甲酸盐超标的食品，对人体健康可能有一定影响。《食品安全国家标准 食品中农药最大残留限量》（GB 2763—2021）中规定，甲氨基阿维菌素苯甲酸盐在茄果类蔬菜中的最大残留限量值为0.02mg/kg。辣椒中甲氨基阿维菌素苯甲酸盐残留量超标的原因，可能是为快速控制虫害，加大用药量或未遵守采摘间隔期规定，致使上市销售的产品中残留量超标。</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十七、克百威</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克百威是一种广谱、高效、低残留、高毒性的氨基甲酸酯类杀虫、杀螨、杀线虫剂，具有内吸、触杀、胃毒等作用。摄入克百威超标的食品，可能引起头昏、乏力、多汗、呕吐、视力模糊等症状。《食品安全国家标准 食品中农药最大残留限量》（GB 2763—2021）中规定，克百威在豆类蔬菜中的最大残留限量值为0.02mg/kg。豇豆中克百威超标可能是菜农为控制病情不遵守休药期规定，致使上市销售时产品中的药物残留量未降解至标准限量以下。</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十八、乙酰甲胺磷</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乙酰甲胺磷又名高灭磷，是内吸性的有机磷类杀虫剂，属低毒杀虫剂。食用食品一般不会导致乙酰甲胺磷的急性中毒，但长期食用乙酰甲胺磷超标的食品，对人体健康也有一定影响。乙酰甲胺磷属于禁限用农药，禁止在蔬菜、瓜果、茶叶、菌类和中草药材上使用。《食品安全国家标准 食品中农药最大残留限量》（GB 2763—2021）中规定，乙酰甲胺磷在</w:t>
      </w:r>
      <w:r>
        <w:rPr>
          <w:rFonts w:hint="eastAsia" w:ascii="宋体" w:hAnsi="宋体" w:eastAsia="方正仿宋_GBK" w:cs="宋体"/>
          <w:kern w:val="2"/>
          <w:sz w:val="32"/>
          <w:szCs w:val="32"/>
          <w:lang w:val="en-US" w:eastAsia="zh-CN" w:bidi="ar-SA"/>
        </w:rPr>
        <w:t>鳞茎类蔬菜</w:t>
      </w:r>
      <w:r>
        <w:rPr>
          <w:rFonts w:hint="default" w:ascii="宋体" w:hAnsi="宋体" w:eastAsia="方正仿宋_GBK" w:cs="宋体"/>
          <w:kern w:val="2"/>
          <w:sz w:val="32"/>
          <w:szCs w:val="32"/>
          <w:lang w:val="en-US" w:eastAsia="zh-CN" w:bidi="ar-SA"/>
        </w:rPr>
        <w:t>中最大残留量为0.0</w:t>
      </w:r>
      <w:r>
        <w:rPr>
          <w:rFonts w:hint="eastAsia" w:ascii="宋体" w:hAnsi="宋体" w:eastAsia="方正仿宋_GBK" w:cs="宋体"/>
          <w:kern w:val="2"/>
          <w:sz w:val="32"/>
          <w:szCs w:val="32"/>
          <w:lang w:val="en-US" w:eastAsia="zh-CN" w:bidi="ar-SA"/>
        </w:rPr>
        <w:t>2</w:t>
      </w:r>
      <w:r>
        <w:rPr>
          <w:rFonts w:hint="default" w:ascii="宋体" w:hAnsi="宋体" w:eastAsia="方正仿宋_GBK" w:cs="宋体"/>
          <w:kern w:val="2"/>
          <w:sz w:val="32"/>
          <w:szCs w:val="32"/>
          <w:lang w:val="en-US" w:eastAsia="zh-CN" w:bidi="ar-SA"/>
        </w:rPr>
        <w:t>mg/kg。</w:t>
      </w:r>
      <w:r>
        <w:rPr>
          <w:rFonts w:hint="eastAsia" w:ascii="宋体" w:hAnsi="宋体" w:eastAsia="方正仿宋_GBK" w:cs="宋体"/>
          <w:kern w:val="2"/>
          <w:sz w:val="32"/>
          <w:szCs w:val="32"/>
          <w:lang w:val="en-US" w:eastAsia="zh-CN" w:bidi="ar-SA"/>
        </w:rPr>
        <w:t>韭菜</w:t>
      </w:r>
      <w:r>
        <w:rPr>
          <w:rFonts w:hint="default" w:ascii="宋体" w:hAnsi="宋体" w:eastAsia="方正仿宋_GBK" w:cs="宋体"/>
          <w:kern w:val="2"/>
          <w:sz w:val="32"/>
          <w:szCs w:val="32"/>
          <w:lang w:val="en-US" w:eastAsia="zh-CN" w:bidi="ar-SA"/>
        </w:rPr>
        <w:t>中乙酰甲胺磷超标的原因可能是</w:t>
      </w:r>
      <w:r>
        <w:rPr>
          <w:rFonts w:hint="eastAsia" w:ascii="宋体" w:hAnsi="宋体" w:eastAsia="方正仿宋_GBK" w:cs="宋体"/>
          <w:kern w:val="2"/>
          <w:sz w:val="32"/>
          <w:szCs w:val="32"/>
          <w:lang w:val="en-US" w:eastAsia="zh-CN" w:bidi="ar-SA"/>
        </w:rPr>
        <w:t>菜</w:t>
      </w:r>
      <w:r>
        <w:rPr>
          <w:rFonts w:hint="default" w:ascii="宋体" w:hAnsi="宋体" w:eastAsia="方正仿宋_GBK" w:cs="宋体"/>
          <w:kern w:val="2"/>
          <w:sz w:val="32"/>
          <w:szCs w:val="32"/>
          <w:lang w:val="en-US" w:eastAsia="zh-CN" w:bidi="ar-SA"/>
        </w:rPr>
        <w:t>农违规使用相关农药。</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十九、6-苄基腺嘌呤(6-BA)</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6-苄基腺嘌呤（6-BA）是人工合成的细胞分裂素，具有抑制植物叶内叶绿素、核酸、蛋白质的分解，保绿防老等多种效能。过量摄入6-BA会刺激粘膜，造成食道、胃黏膜损伤，出现恶心、呕吐等症状。国家食品药品监督管理总局、农业部、国家卫生和计划生育委员会发布的《关于豆芽生产过程中禁止使用6-苄基腺嘌呤等物质的公告（2015年第11号）》中明确，为确保豆芽食用安全，生产者不得在豆芽生产过程中使用6-BA，豆芽经营者不得经营含有6-BA的豆芽。豆芽中检出6-BA的原因可能是生产者为了抑制豆芽侧生须根，提高豆芽产量、缩短生产周期，从而违规使用。</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二十、4-氯苯氧乙酸钠</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4-氯苯氧乙酸钠（4-CPANa）俗称促生灵、番茄灵、防落素，为最常添加的植物生长调节剂。若长期食用4-CPANa残留过量的豆芽，可能会给身体带来危害。国家食品药品监督管理总局、农业部、国家卫生和计划生育委员会发布的《关于豆芽生产过程中禁止使用6-苄基腺嘌呤等物质的公告（2015年第11号）》中明确，为确保豆芽食用安全，生产者不得在豆芽生产过程中使用4-CPANa，豆芽经营者不得经营含有4-CPANa的豆芽。豆芽中检出4-CPANa的原因可能是生产者为促进豆芽肥嫩、粗壮，提高豆芽产量，从而违规使用。</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二十一、烯酰吗啉</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eastAsia" w:ascii="宋体" w:hAnsi="宋体" w:eastAsia="方正仿宋_GBK" w:cs="宋体"/>
          <w:kern w:val="2"/>
          <w:sz w:val="32"/>
          <w:szCs w:val="32"/>
          <w:lang w:val="en-US" w:eastAsia="zh-CN" w:bidi="ar-SA"/>
        </w:rPr>
        <w:t>烯酰吗啉是一种具有良好保护性能和抗芽孢形成的内吸性杀菌剂，对卵菌纲真菌具有杀灭作用。经口毒性低，无明显中毒症状，且尚未见中毒报道。</w:t>
      </w:r>
      <w:r>
        <w:rPr>
          <w:rFonts w:hint="default" w:ascii="宋体" w:hAnsi="宋体" w:eastAsia="方正仿宋_GBK" w:cs="宋体"/>
          <w:kern w:val="2"/>
          <w:sz w:val="32"/>
          <w:szCs w:val="32"/>
          <w:lang w:val="en-US" w:eastAsia="zh-CN" w:bidi="ar-SA"/>
        </w:rPr>
        <w:t>《食品安全国家标准 食品中农药最大残留限量》（GB 2763—2021）中规定，</w:t>
      </w:r>
      <w:r>
        <w:rPr>
          <w:rFonts w:hint="eastAsia" w:ascii="宋体" w:hAnsi="宋体" w:eastAsia="方正仿宋_GBK" w:cs="宋体"/>
          <w:kern w:val="2"/>
          <w:sz w:val="32"/>
          <w:szCs w:val="32"/>
          <w:lang w:val="en-US" w:eastAsia="zh-CN" w:bidi="ar-SA"/>
        </w:rPr>
        <w:t>烯酰吗啉在草莓中的最大残留限量为0.05mg/kg。草莓中烯酰吗啉残留量超标的原因可能是种植者为加强防病效果超量使用农药，也可能是未严格按照农药安全间隔期，提前采收农作物。</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二十二、毒死蜱</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毒死蜱又名氯蜱硫磷，是目前全世界使用最广泛的有机磷酸酯杀虫剂之一。食用毒死蜱超标的食品，可能会引起头昏、头痛、无力、呕吐等症状，甚至还可能导致癫痫样抽搐。《食品安全国家标准 食品中农药最大残留限量》（GB 2763—2021）中规定，毒死蜱在叶菜类蔬菜（芹菜除外）中的最大残留限量为0.02mg/kg。菠菜中毒死蜱超标的原因可能是农产品种植者为加强防病效果超量使用农药，也可能是种植户未严格按照农药安全间隔期，提前采收农作物。</w:t>
      </w:r>
    </w:p>
    <w:p>
      <w:pPr>
        <w:keepNext w:val="0"/>
        <w:keepLines w:val="0"/>
        <w:pageBreakBefore w:val="0"/>
        <w:widowControl w:val="0"/>
        <w:kinsoku/>
        <w:wordWrap/>
        <w:overflowPunct/>
        <w:topLinePunct w:val="0"/>
        <w:autoSpaceDE/>
        <w:autoSpaceDN/>
        <w:bidi w:val="0"/>
        <w:snapToGrid/>
        <w:spacing w:line="590" w:lineRule="exact"/>
        <w:ind w:firstLine="596" w:firstLineChars="200"/>
        <w:textAlignment w:val="auto"/>
        <w:rPr>
          <w:rFonts w:hint="default" w:ascii="宋体" w:hAnsi="宋体" w:eastAsia="方正黑体_GBK" w:cs="宋体"/>
          <w:spacing w:val="-11"/>
          <w:sz w:val="32"/>
          <w:szCs w:val="32"/>
          <w:lang w:val="en-US" w:eastAsia="zh-CN"/>
        </w:rPr>
      </w:pPr>
      <w:r>
        <w:rPr>
          <w:rFonts w:hint="eastAsia" w:ascii="宋体" w:hAnsi="宋体" w:eastAsia="方正黑体_GBK" w:cs="宋体"/>
          <w:spacing w:val="-11"/>
          <w:sz w:val="32"/>
          <w:szCs w:val="32"/>
          <w:lang w:val="en-US" w:eastAsia="zh-CN"/>
        </w:rPr>
        <w:t>二十三、恩诺沙星</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宋体" w:hAnsi="宋体" w:eastAsia="方正仿宋_GBK" w:cs="宋体"/>
          <w:kern w:val="2"/>
          <w:sz w:val="32"/>
          <w:szCs w:val="32"/>
          <w:lang w:val="en-US" w:eastAsia="zh-CN" w:bidi="ar-SA"/>
        </w:rPr>
      </w:pPr>
      <w:r>
        <w:rPr>
          <w:rFonts w:hint="default" w:ascii="宋体" w:hAnsi="宋体" w:eastAsia="方正仿宋_GBK" w:cs="宋体"/>
          <w:kern w:val="2"/>
          <w:sz w:val="32"/>
          <w:szCs w:val="32"/>
          <w:lang w:val="en-US" w:eastAsia="zh-CN" w:bidi="ar-SA"/>
        </w:rPr>
        <w:t>恩诺沙星属第三代喹诺酮类药物，是一类人工合成的广谱抗菌药，用于治疗动物的皮肤感染、呼吸道感染等，是动物专属用药。长期食用恩诺沙星残留超标的食品，可能在人体中蓄积，进而对人体机能产生危害，还可能使人体产生耐药性菌株。《食品安全国家标准 食品中兽药最大残留限量》（GB 31650—2019）中规定，恩诺沙星在鱼的皮和肉中最大残留限量值为100μg/kg。泥鳅（淡水鱼）中恩诺沙星超标的原因，可能是在养殖过程中为快速控制疫病，违规加大用药量或不遵守休药期规定，致使产品上市销售时的药物残留量超标。</w:t>
      </w:r>
    </w:p>
    <w:p>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default" w:ascii="Times New Roman" w:hAnsi="Times New Roman" w:eastAsia="仿宋_GB2312" w:cs="Times New Roman"/>
          <w:kern w:val="2"/>
          <w:sz w:val="32"/>
          <w:szCs w:val="32"/>
          <w:lang w:val="en-US" w:eastAsia="zh-CN" w:bidi="ar-SA"/>
        </w:rPr>
      </w:pPr>
    </w:p>
    <w:sectPr>
      <w:footerReference r:id="rId3" w:type="default"/>
      <w:footerReference r:id="rId4" w:type="even"/>
      <w:pgSz w:w="11906" w:h="16838"/>
      <w:pgMar w:top="2098" w:right="1417"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FC74592-EE76-4866-B876-A13F1E44C723}"/>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embedRegular r:id="rId2" w:fontKey="{701AD412-8F0E-4F7E-8AE1-2957D8B28714}"/>
  </w:font>
  <w:font w:name="方正小标宋_GBK">
    <w:panose1 w:val="03000509000000000000"/>
    <w:charset w:val="86"/>
    <w:family w:val="auto"/>
    <w:pitch w:val="default"/>
    <w:sig w:usb0="00000001" w:usb1="080E0000" w:usb2="00000000" w:usb3="00000000" w:csb0="00040000" w:csb1="00000000"/>
    <w:embedRegular r:id="rId3" w:fontKey="{816D820B-7516-4DD0-A391-1569B6550E27}"/>
  </w:font>
  <w:font w:name="方正仿宋_GBK">
    <w:panose1 w:val="03000509000000000000"/>
    <w:charset w:val="86"/>
    <w:family w:val="auto"/>
    <w:pitch w:val="default"/>
    <w:sig w:usb0="00000001" w:usb1="080E0000" w:usb2="00000000" w:usb3="00000000" w:csb0="00040000" w:csb1="00000000"/>
    <w:embedRegular r:id="rId4" w:fontKey="{0CC5EA63-4AF3-49D4-A1DB-FA0255A6C1EC}"/>
  </w:font>
  <w:font w:name="仿宋_GB2312">
    <w:panose1 w:val="02010609030101010101"/>
    <w:charset w:val="86"/>
    <w:family w:val="modern"/>
    <w:pitch w:val="default"/>
    <w:sig w:usb0="00000001" w:usb1="080E0000" w:usb2="00000000" w:usb3="00000000" w:csb0="00040000" w:csb1="00000000"/>
    <w:embedRegular r:id="rId5" w:fontKey="{511DFB80-5CA6-421F-9D24-413150CDED4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0827681"/>
      <w:docPartObj>
        <w:docPartGallery w:val="autotext"/>
      </w:docPartObj>
    </w:sdtPr>
    <w:sdtContent>
      <w:p>
        <w:pPr>
          <w:pStyle w:val="6"/>
          <w:jc w:val="center"/>
        </w:pPr>
        <w:r>
          <w:fldChar w:fldCharType="begin"/>
        </w:r>
        <w:r>
          <w:instrText xml:space="preserve">PAGE   \* MERGEFORMAT</w:instrText>
        </w:r>
        <w:r>
          <w:fldChar w:fldCharType="separate"/>
        </w:r>
        <w:r>
          <w:rPr>
            <w:lang w:val="zh-CN"/>
          </w:rPr>
          <w:t>4</w:t>
        </w:r>
        <w: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wZDdmNmRmMWE0NzJhMmY2YTYwYTgwODljNWQ2YjEifQ=="/>
  </w:docVars>
  <w:rsids>
    <w:rsidRoot w:val="15B85137"/>
    <w:rsid w:val="000119D5"/>
    <w:rsid w:val="00013E30"/>
    <w:rsid w:val="000276F3"/>
    <w:rsid w:val="00045657"/>
    <w:rsid w:val="00063DA7"/>
    <w:rsid w:val="000868BD"/>
    <w:rsid w:val="0009071C"/>
    <w:rsid w:val="000C63B4"/>
    <w:rsid w:val="000D132D"/>
    <w:rsid w:val="000E0F61"/>
    <w:rsid w:val="000E639C"/>
    <w:rsid w:val="00101A1D"/>
    <w:rsid w:val="0010777E"/>
    <w:rsid w:val="00116CA2"/>
    <w:rsid w:val="00135634"/>
    <w:rsid w:val="00135A77"/>
    <w:rsid w:val="00142BDE"/>
    <w:rsid w:val="0015345E"/>
    <w:rsid w:val="00170041"/>
    <w:rsid w:val="0018028B"/>
    <w:rsid w:val="001B6492"/>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C53F6"/>
    <w:rsid w:val="004D036B"/>
    <w:rsid w:val="004D0CC7"/>
    <w:rsid w:val="004D4E94"/>
    <w:rsid w:val="00514B88"/>
    <w:rsid w:val="005216E2"/>
    <w:rsid w:val="00541843"/>
    <w:rsid w:val="00551758"/>
    <w:rsid w:val="00565D70"/>
    <w:rsid w:val="00576235"/>
    <w:rsid w:val="0057719D"/>
    <w:rsid w:val="00580AA7"/>
    <w:rsid w:val="005A6A35"/>
    <w:rsid w:val="005A758A"/>
    <w:rsid w:val="005C0139"/>
    <w:rsid w:val="005C2A8D"/>
    <w:rsid w:val="005C692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E0081"/>
    <w:rsid w:val="008E32F5"/>
    <w:rsid w:val="008E5099"/>
    <w:rsid w:val="008F021C"/>
    <w:rsid w:val="00900777"/>
    <w:rsid w:val="0093073B"/>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5F6A"/>
    <w:rsid w:val="00CF6EF9"/>
    <w:rsid w:val="00D16B82"/>
    <w:rsid w:val="00D2666E"/>
    <w:rsid w:val="00D501B0"/>
    <w:rsid w:val="00D63508"/>
    <w:rsid w:val="00D70167"/>
    <w:rsid w:val="00D83AA0"/>
    <w:rsid w:val="00D87B22"/>
    <w:rsid w:val="00D93034"/>
    <w:rsid w:val="00DA0BCC"/>
    <w:rsid w:val="00DC00F9"/>
    <w:rsid w:val="00DD476E"/>
    <w:rsid w:val="00E00F1F"/>
    <w:rsid w:val="00E01E3C"/>
    <w:rsid w:val="00E167A0"/>
    <w:rsid w:val="00E21F73"/>
    <w:rsid w:val="00E32D98"/>
    <w:rsid w:val="00E43414"/>
    <w:rsid w:val="00E51E77"/>
    <w:rsid w:val="00E54A66"/>
    <w:rsid w:val="00E5774B"/>
    <w:rsid w:val="00E8121D"/>
    <w:rsid w:val="00E82C94"/>
    <w:rsid w:val="00EA77E3"/>
    <w:rsid w:val="00EC0211"/>
    <w:rsid w:val="00ED0256"/>
    <w:rsid w:val="00ED0DA7"/>
    <w:rsid w:val="00ED21A0"/>
    <w:rsid w:val="00EF6B02"/>
    <w:rsid w:val="00F05932"/>
    <w:rsid w:val="00F075AE"/>
    <w:rsid w:val="00F1347C"/>
    <w:rsid w:val="00F75612"/>
    <w:rsid w:val="00F80202"/>
    <w:rsid w:val="00F915D8"/>
    <w:rsid w:val="00FA490E"/>
    <w:rsid w:val="00FA66BA"/>
    <w:rsid w:val="00FC3D20"/>
    <w:rsid w:val="00FF2E4D"/>
    <w:rsid w:val="016B40F5"/>
    <w:rsid w:val="02E57613"/>
    <w:rsid w:val="0AAD14F9"/>
    <w:rsid w:val="0BAF665A"/>
    <w:rsid w:val="0FED6590"/>
    <w:rsid w:val="11AA7966"/>
    <w:rsid w:val="141679B1"/>
    <w:rsid w:val="159E2C66"/>
    <w:rsid w:val="15B85137"/>
    <w:rsid w:val="16041BA6"/>
    <w:rsid w:val="187854F2"/>
    <w:rsid w:val="1D2A530E"/>
    <w:rsid w:val="1F0653D6"/>
    <w:rsid w:val="29490226"/>
    <w:rsid w:val="2BDB0938"/>
    <w:rsid w:val="2C9024A3"/>
    <w:rsid w:val="2DE7759F"/>
    <w:rsid w:val="361B61C7"/>
    <w:rsid w:val="3A512225"/>
    <w:rsid w:val="3B797920"/>
    <w:rsid w:val="3ECA4CD4"/>
    <w:rsid w:val="44586DC0"/>
    <w:rsid w:val="479E0D55"/>
    <w:rsid w:val="48805DD2"/>
    <w:rsid w:val="4AFE195C"/>
    <w:rsid w:val="4B304B48"/>
    <w:rsid w:val="4B5562A0"/>
    <w:rsid w:val="4BC323F1"/>
    <w:rsid w:val="4C9B5A25"/>
    <w:rsid w:val="4EE57FD2"/>
    <w:rsid w:val="52732B71"/>
    <w:rsid w:val="532E3A5B"/>
    <w:rsid w:val="5B0203A0"/>
    <w:rsid w:val="60FD15F7"/>
    <w:rsid w:val="63A75247"/>
    <w:rsid w:val="6A00000E"/>
    <w:rsid w:val="6A7A5576"/>
    <w:rsid w:val="6D1849C3"/>
    <w:rsid w:val="6D535020"/>
    <w:rsid w:val="6E0005AE"/>
    <w:rsid w:val="6ED3511D"/>
    <w:rsid w:val="6FB849AC"/>
    <w:rsid w:val="74A44FDB"/>
    <w:rsid w:val="75856B41"/>
    <w:rsid w:val="7CCD4AFB"/>
    <w:rsid w:val="7D2423F5"/>
    <w:rsid w:val="7F5B1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annotation text"/>
    <w:basedOn w:val="1"/>
    <w:link w:val="20"/>
    <w:qFormat/>
    <w:uiPriority w:val="0"/>
    <w:pPr>
      <w:jc w:val="left"/>
    </w:pPr>
  </w:style>
  <w:style w:type="paragraph" w:styleId="5">
    <w:name w:val="Balloon Text"/>
    <w:basedOn w:val="1"/>
    <w:link w:val="15"/>
    <w:qFormat/>
    <w:uiPriority w:val="0"/>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19"/>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9">
    <w:name w:val="Normal (Web)"/>
    <w:basedOn w:val="1"/>
    <w:unhideWhenUsed/>
    <w:qFormat/>
    <w:uiPriority w:val="99"/>
    <w:pPr>
      <w:spacing w:beforeAutospacing="1" w:afterAutospacing="1"/>
      <w:jc w:val="left"/>
    </w:pPr>
    <w:rPr>
      <w:rFonts w:asciiTheme="minorHAnsi" w:hAnsiTheme="minorHAnsi" w:eastAsiaTheme="minorEastAsia"/>
      <w:kern w:val="0"/>
      <w:sz w:val="24"/>
      <w:szCs w:val="22"/>
    </w:rPr>
  </w:style>
  <w:style w:type="paragraph" w:styleId="10">
    <w:name w:val="annotation subject"/>
    <w:basedOn w:val="4"/>
    <w:next w:val="4"/>
    <w:link w:val="21"/>
    <w:qFormat/>
    <w:uiPriority w:val="0"/>
    <w:rPr>
      <w:b/>
      <w:bCs/>
    </w:rPr>
  </w:style>
  <w:style w:type="character" w:styleId="13">
    <w:name w:val="annotation reference"/>
    <w:basedOn w:val="12"/>
    <w:qFormat/>
    <w:uiPriority w:val="0"/>
    <w:rPr>
      <w:sz w:val="21"/>
      <w:szCs w:val="21"/>
    </w:rPr>
  </w:style>
  <w:style w:type="paragraph" w:customStyle="1" w:styleId="14">
    <w:name w:val="列出段落2"/>
    <w:basedOn w:val="1"/>
    <w:qFormat/>
    <w:uiPriority w:val="34"/>
    <w:pPr>
      <w:ind w:firstLine="420" w:firstLineChars="200"/>
    </w:pPr>
  </w:style>
  <w:style w:type="character" w:customStyle="1" w:styleId="15">
    <w:name w:val="批注框文本 字符"/>
    <w:basedOn w:val="12"/>
    <w:link w:val="5"/>
    <w:qFormat/>
    <w:uiPriority w:val="0"/>
    <w:rPr>
      <w:rFonts w:ascii="Calibri" w:hAnsi="Calibri" w:eastAsia="宋体" w:cs="Times New Roman"/>
      <w:kern w:val="2"/>
      <w:sz w:val="18"/>
      <w:szCs w:val="18"/>
    </w:rPr>
  </w:style>
  <w:style w:type="paragraph" w:styleId="16">
    <w:name w:val="List Paragraph"/>
    <w:basedOn w:val="1"/>
    <w:qFormat/>
    <w:uiPriority w:val="34"/>
    <w:pPr>
      <w:ind w:firstLine="420" w:firstLineChars="200"/>
    </w:pPr>
    <w:rPr>
      <w:szCs w:val="22"/>
    </w:rPr>
  </w:style>
  <w:style w:type="character" w:customStyle="1" w:styleId="17">
    <w:name w:val="页眉 字符"/>
    <w:basedOn w:val="12"/>
    <w:link w:val="7"/>
    <w:qFormat/>
    <w:uiPriority w:val="0"/>
    <w:rPr>
      <w:rFonts w:ascii="Calibri" w:hAnsi="Calibri" w:eastAsia="宋体" w:cs="Times New Roman"/>
      <w:kern w:val="2"/>
      <w:sz w:val="18"/>
      <w:szCs w:val="18"/>
    </w:rPr>
  </w:style>
  <w:style w:type="character" w:customStyle="1" w:styleId="18">
    <w:name w:val="页脚 字符"/>
    <w:basedOn w:val="12"/>
    <w:link w:val="6"/>
    <w:qFormat/>
    <w:uiPriority w:val="99"/>
    <w:rPr>
      <w:rFonts w:ascii="Calibri" w:hAnsi="Calibri" w:eastAsia="宋体" w:cs="Times New Roman"/>
      <w:kern w:val="2"/>
      <w:sz w:val="18"/>
      <w:szCs w:val="18"/>
    </w:rPr>
  </w:style>
  <w:style w:type="character" w:customStyle="1" w:styleId="19">
    <w:name w:val="副标题 字符"/>
    <w:basedOn w:val="12"/>
    <w:link w:val="8"/>
    <w:qFormat/>
    <w:uiPriority w:val="0"/>
    <w:rPr>
      <w:rFonts w:ascii="Times New Roman" w:hAnsi="Times New Roman" w:eastAsia="黑体"/>
      <w:bCs/>
      <w:kern w:val="28"/>
      <w:sz w:val="32"/>
      <w:szCs w:val="32"/>
    </w:rPr>
  </w:style>
  <w:style w:type="character" w:customStyle="1" w:styleId="20">
    <w:name w:val="批注文字 字符"/>
    <w:basedOn w:val="12"/>
    <w:link w:val="4"/>
    <w:qFormat/>
    <w:uiPriority w:val="0"/>
    <w:rPr>
      <w:rFonts w:ascii="Calibri" w:hAnsi="Calibri" w:eastAsia="宋体" w:cs="Times New Roman"/>
      <w:kern w:val="2"/>
      <w:sz w:val="21"/>
      <w:szCs w:val="24"/>
    </w:rPr>
  </w:style>
  <w:style w:type="character" w:customStyle="1" w:styleId="21">
    <w:name w:val="批注主题 字符"/>
    <w:basedOn w:val="20"/>
    <w:link w:val="10"/>
    <w:qFormat/>
    <w:uiPriority w:val="0"/>
    <w:rPr>
      <w:rFonts w:ascii="Calibri" w:hAnsi="Calibri" w:eastAsia="宋体" w:cs="Times New Roman"/>
      <w:b/>
      <w:bCs/>
      <w:kern w:val="2"/>
      <w:sz w:val="21"/>
      <w:szCs w:val="24"/>
    </w:rPr>
  </w:style>
  <w:style w:type="paragraph" w:customStyle="1" w:styleId="22">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6</Pages>
  <Words>2162</Words>
  <Characters>2332</Characters>
  <Lines>16</Lines>
  <Paragraphs>4</Paragraphs>
  <TotalTime>6</TotalTime>
  <ScaleCrop>false</ScaleCrop>
  <LinksUpToDate>false</LinksUpToDate>
  <CharactersWithSpaces>2344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YUE</cp:lastModifiedBy>
  <dcterms:modified xsi:type="dcterms:W3CDTF">2022-11-11T02:15:09Z</dcterms:modified>
  <dc:title>附件1</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665DFCFFE0C14853875C9B62468006AB</vt:lpwstr>
  </property>
</Properties>
</file>