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方正小标宋简体" w:cs="方正小标宋简体"/>
          <w:color w:val="000000"/>
          <w:sz w:val="32"/>
          <w:szCs w:val="32"/>
        </w:rPr>
      </w:pPr>
      <w:r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  <w:lang w:eastAsia="zh-CN"/>
        </w:rPr>
        <w:t>福建省药品</w:t>
      </w:r>
      <w:r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</w:rPr>
        <w:t>监督管理局</w:t>
      </w:r>
      <w:r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  <w:lang w:eastAsia="zh-CN"/>
        </w:rPr>
        <w:t>（</w:t>
      </w:r>
      <w:r>
        <w:rPr>
          <w:rFonts w:hint="eastAsia" w:ascii="Times New Roman" w:hAnsi="Times New Roman" w:eastAsia="方正小标宋简体" w:cs="方正小标宋简体"/>
          <w:bCs/>
          <w:color w:val="000000"/>
          <w:sz w:val="36"/>
          <w:szCs w:val="36"/>
          <w:lang w:eastAsia="zh-CN"/>
        </w:rPr>
        <w:t>福州药品稽查办公室</w:t>
      </w:r>
      <w:r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4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Times New Roman" w:hAnsi="Times New Roman" w:eastAsia="方正小标宋简体" w:cs="方正小标宋简体"/>
          <w:bCs/>
          <w:color w:val="00000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Cs/>
          <w:color w:val="000000"/>
          <w:sz w:val="44"/>
          <w:szCs w:val="44"/>
        </w:rPr>
        <w:t>行政处罚决定书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before="157" w:beforeLines="50" w:after="157" w:afterLines="50"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25400</wp:posOffset>
                </wp:positionH>
                <wp:positionV relativeFrom="paragraph">
                  <wp:posOffset>20802600</wp:posOffset>
                </wp:positionV>
                <wp:extent cx="5761990" cy="1270"/>
                <wp:effectExtent l="0" t="0" r="0" b="0"/>
                <wp:wrapNone/>
                <wp:docPr id="10" name="直接箭头连接符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1990" cy="1270"/>
                        </a:xfrm>
                        <a:prstGeom prst="straightConnector1">
                          <a:avLst/>
                        </a:prstGeom>
                        <a:ln w="1905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pt;margin-top:1638pt;height:0.1pt;width:453.7pt;z-index:251659264;mso-width-relative:page;mso-height-relative:page;" filled="f" stroked="t" coordsize="21600,21600" o:gfxdata="UEsFBgAAAAAAAAAAAAAAAAAAAAAAAFBLAwQKAAAAAACHTuJAAAAAAAAAAAAAAAAABAAAAGRycy9Q&#10;SwMEFAAAAAgAh07iQIteKJraAAAACwEAAA8AAABkcnMvZG93bnJldi54bWxNj0tPwzAQhO9I/Adr&#10;kbhRO2kpEOJUqAghLlEfHDi68RJHxOsodh/w61nEAW67O6PZb8rFyffigGPsAmnIJgoEUhNsR62G&#10;1+3T1S2ImAxZ0wdCDZ8YYVGdn5WmsOFIazxsUis4hGJhNLiUhkLK2Dj0Jk7CgMTaexi9SbyOrbSj&#10;OXK472Wu1Fx60xF/cGbApcPmY7P3Gurly3NS16vVunZv+XbaPNbx4Uvry4tM3YNIeEp/ZvjBZ3So&#10;mGkX9mSj6DXMuEnSMM1v5jyx4S7LZiB2v6ccZFXK/x2qb1BLAwQUAAAACACHTuJABOtN3OoBAACw&#10;AwAADgAAAGRycy9lMm9Eb2MueG1srVNLjhMxEN0jcQfLe9JJpJkhrXRmkTBsEEQCDlCx3d2W/MNl&#10;0skluAASK2AFrGbPaWA4BmUnhAE2CNELd5XL9arec3l+ubOGbVVE7V3DJ6MxZ8oJL7XrGv782dW9&#10;+5xhAifBeKcavlfILxd378yHUKup772RKjICcVgPoeF9SqGuKhS9soAjH5SjYOujhURu7CoZYSB0&#10;a6rpeHxeDT7KEL1QiLS7OgT5ouC3rRLpSduiSsw0nHpLZY1l3eS1Wsyh7iKEXotjG/APXVjQjoqe&#10;oFaQgL2M+g8oq0X06Ns0Et5Wvm21UIUDsZmMf2PztIegChcSB8NJJvx/sOLxdh2ZlnR3JI8DS3d0&#10;8/r666t3N58+fnl7/e3zm2x/eM8oTmINAWvKWbp1PHoY1jEz37XR5j9xYrsi8P4ksNolJmjz7OJ8&#10;MptRIUGxyfSiQFY/c0PE9FB5y7LRcEwRdNenpXeObtLHSdEYto8wUXVK/JGQCxvHBkKdjc9yAaBh&#10;whdk2EDk0HUlFb3R8kobkxMwdpuliWwLeTjKlykS7C/Hco0VYH84V0KHsekVyAdOsrQPpJqj+ea5&#10;A6skZ0bRc8gWAUKdQJu/OUmljcsJqozukWbW/KBytjZe7ov4VfZoLErHxxHOc3fbJ/v2Q1t8B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BYA&#10;AABkcnMvUEsBAhQAFAAAAAgAh07iQIteKJraAAAACwEAAA8AAAAAAAAAAQAgAAAAOAAAAGRycy9k&#10;b3ducmV2LnhtbFBLAQIUABQAAAAIAIdO4kAE603c6gEAALADAAAOAAAAAAAAAAEAIAAAAD8BAABk&#10;cnMvZTJvRG9jLnhtbFBLBQYAAAAABgAGAFkBAACbBQAAAAA=&#10;">
                <v:fill on="f" focussize="0,0"/>
                <v:stroke weight="1.5pt" color="#000000" joinstyle="round" endcap="square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none"/>
          <w:lang w:eastAsia="zh-CN"/>
        </w:rPr>
        <w:t>闽药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none"/>
        </w:rPr>
        <w:t>监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none"/>
          <w:lang w:eastAsia="zh-CN"/>
        </w:rPr>
        <w:t>榕稽办行罚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none"/>
        </w:rPr>
        <w:t>〔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u w:val="none"/>
          <w:lang w:val="en-US" w:eastAsia="zh-CN"/>
        </w:rPr>
        <w:t>2023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none"/>
        </w:rPr>
        <w:t>〕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none"/>
          <w:lang w:val="en-US" w:eastAsia="zh-CN"/>
        </w:rPr>
        <w:t>19</w:t>
      </w:r>
      <w:r>
        <w:rPr>
          <w:rFonts w:hint="eastAsia" w:ascii="Times New Roman" w:hAnsi="Times New Roman" w:eastAsia="仿宋_GB2312" w:cs="仿宋_GB2312"/>
          <w:color w:val="auto"/>
          <w:sz w:val="32"/>
          <w:szCs w:val="32"/>
          <w:u w:val="none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textAlignment w:val="auto"/>
        <w:outlineLvl w:val="9"/>
        <w:rPr>
          <w:rFonts w:hint="eastAsia" w:ascii="仿宋" w:hAnsi="仿宋" w:eastAsia="仿宋" w:cs="仿宋"/>
          <w:kern w:val="1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0" w:leftChars="0" w:right="0" w:rightChars="0" w:firstLine="0" w:firstLineChars="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28"/>
          <w:szCs w:val="28"/>
        </w:rPr>
        <w:t>当事人：</w:t>
      </w:r>
      <w:r>
        <w:rPr>
          <w:rFonts w:hint="eastAsia" w:ascii="仿宋_GB2312" w:hAnsi="仿宋_GB2312" w:eastAsia="仿宋_GB2312" w:cs="仿宋_GB2312"/>
          <w:kern w:val="1"/>
          <w:sz w:val="28"/>
          <w:szCs w:val="28"/>
          <w:lang w:val="en-US" w:eastAsia="zh-CN"/>
        </w:rPr>
        <w:t>福建药济安好药师大药房有限责任公司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40" w:right="0" w:rightChars="0" w:hanging="140"/>
        <w:textAlignment w:val="auto"/>
        <w:rPr>
          <w:rFonts w:hint="eastAsia" w:ascii="仿宋_GB2312" w:hAnsi="仿宋_GB2312" w:eastAsia="仿宋_GB2312" w:cs="仿宋_GB2312"/>
          <w:kern w:val="1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kern w:val="1"/>
          <w:sz w:val="28"/>
          <w:szCs w:val="28"/>
        </w:rPr>
        <w:t>主体资格证照名称：</w:t>
      </w:r>
      <w:r>
        <w:rPr>
          <w:rFonts w:hint="eastAsia" w:ascii="仿宋_GB2312" w:hAnsi="仿宋_GB2312" w:eastAsia="仿宋_GB2312" w:cs="仿宋_GB2312"/>
          <w:kern w:val="1"/>
          <w:sz w:val="28"/>
          <w:szCs w:val="28"/>
          <w:lang w:eastAsia="zh-CN"/>
        </w:rPr>
        <w:t>营业执照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40" w:right="0" w:rightChars="0" w:hanging="14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28"/>
          <w:szCs w:val="28"/>
        </w:rPr>
        <w:t>统一社会信用代码（注册号）：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 91350300MA8TERQG4R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2240" w:hanging="1960" w:hangingChars="700"/>
        <w:textAlignment w:val="auto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kern w:val="1"/>
          <w:sz w:val="28"/>
          <w:szCs w:val="28"/>
        </w:rPr>
        <w:t>住所（住址）：</w:t>
      </w:r>
      <w:r>
        <w:rPr>
          <w:rFonts w:hint="eastAsia" w:ascii="仿宋_GB2312" w:hAnsi="仿宋_GB2312" w:eastAsia="仿宋_GB2312" w:cs="仿宋_GB2312"/>
          <w:kern w:val="1"/>
          <w:sz w:val="28"/>
          <w:szCs w:val="28"/>
          <w:lang w:eastAsia="zh-CN"/>
        </w:rPr>
        <w:t>福建省莆田市荔城区拱辰街道东园东路</w:t>
      </w:r>
      <w:r>
        <w:rPr>
          <w:rFonts w:hint="eastAsia" w:ascii="仿宋_GB2312" w:hAnsi="仿宋_GB2312" w:eastAsia="仿宋_GB2312" w:cs="仿宋_GB2312"/>
          <w:kern w:val="1"/>
          <w:sz w:val="28"/>
          <w:szCs w:val="28"/>
          <w:lang w:val="en-US" w:eastAsia="zh-CN"/>
        </w:rPr>
        <w:t>2169号新日财富广场1号楼2404室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40" w:right="0" w:rightChars="0" w:hanging="140"/>
        <w:textAlignment w:val="auto"/>
        <w:rPr>
          <w:rFonts w:hint="eastAsia" w:ascii="仿宋_GB2312" w:hAnsi="仿宋_GB2312" w:eastAsia="仿宋_GB2312" w:cs="仿宋_GB2312"/>
          <w:kern w:val="1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28"/>
          <w:szCs w:val="28"/>
        </w:rPr>
        <w:t>法定代表人（负责人、经营者）：</w:t>
      </w:r>
      <w:r>
        <w:rPr>
          <w:rFonts w:hint="eastAsia" w:ascii="CESI仿宋-GB13000" w:hAnsi="CESI仿宋-GB13000" w:eastAsia="CESI仿宋-GB13000" w:cs="CESI仿宋-GB13000"/>
          <w:color w:val="00000A"/>
          <w:sz w:val="28"/>
          <w:szCs w:val="28"/>
          <w:lang w:eastAsia="zh-CN"/>
        </w:rPr>
        <w:t>黄志福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textAlignment w:val="auto"/>
        <w:rPr>
          <w:rFonts w:hint="default" w:ascii="仿宋_GB2312" w:hAnsi="仿宋_GB2312" w:eastAsia="仿宋_GB2312" w:cs="仿宋_GB2312"/>
          <w:kern w:val="1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28"/>
          <w:szCs w:val="28"/>
        </w:rPr>
        <w:t>身份证（其他有效证件）号码</w:t>
      </w:r>
      <w:r>
        <w:rPr>
          <w:rFonts w:hint="eastAsia" w:ascii="仿宋_GB2312" w:hAnsi="仿宋_GB2312" w:eastAsia="仿宋_GB2312" w:cs="仿宋_GB2312"/>
          <w:kern w:val="1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28"/>
          <w:szCs w:val="28"/>
          <w:lang w:val="en-US" w:eastAsia="zh-CN"/>
        </w:rPr>
        <w:t>*****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left="140" w:right="0" w:rightChars="0" w:hanging="140"/>
        <w:textAlignment w:val="auto"/>
        <w:rPr>
          <w:rFonts w:hint="default" w:ascii="仿宋_GB2312" w:hAnsi="仿宋_GB2312" w:eastAsia="仿宋_GB2312" w:cs="仿宋_GB2312"/>
          <w:kern w:val="1"/>
          <w:sz w:val="28"/>
          <w:szCs w:val="28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28"/>
          <w:szCs w:val="28"/>
        </w:rPr>
        <w:t>联系电话：</w:t>
      </w:r>
      <w:r>
        <w:rPr>
          <w:rFonts w:hint="eastAsia" w:ascii="仿宋_GB2312" w:hAnsi="仿宋_GB2312" w:eastAsia="仿宋_GB2312" w:cs="仿宋_GB2312"/>
          <w:kern w:val="1"/>
          <w:sz w:val="28"/>
          <w:szCs w:val="28"/>
          <w:lang w:val="en-US" w:eastAsia="zh-CN"/>
        </w:rPr>
        <w:t>*****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/>
        <w:textAlignment w:val="auto"/>
        <w:rPr>
          <w:rFonts w:hint="eastAsia" w:ascii="仿宋_GB2312" w:hAnsi="仿宋_GB2312" w:eastAsia="仿宋_GB2312" w:cs="仿宋_GB2312"/>
          <w:kern w:val="1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28"/>
          <w:szCs w:val="28"/>
        </w:rPr>
        <w:t>联系地址：</w:t>
      </w:r>
      <w:r>
        <w:rPr>
          <w:rFonts w:hint="eastAsia" w:ascii="仿宋_GB2312" w:hAnsi="仿宋_GB2312" w:eastAsia="仿宋_GB2312" w:cs="仿宋_GB2312"/>
          <w:kern w:val="1"/>
          <w:sz w:val="28"/>
          <w:szCs w:val="28"/>
          <w:lang w:eastAsia="zh-CN"/>
        </w:rPr>
        <w:t>福建省莆田市荔城区拱辰街道东园东路</w:t>
      </w:r>
      <w:r>
        <w:rPr>
          <w:rFonts w:hint="eastAsia" w:ascii="仿宋_GB2312" w:hAnsi="仿宋_GB2312" w:eastAsia="仿宋_GB2312" w:cs="仿宋_GB2312"/>
          <w:kern w:val="1"/>
          <w:sz w:val="28"/>
          <w:szCs w:val="28"/>
          <w:lang w:val="en-US" w:eastAsia="zh-CN"/>
        </w:rPr>
        <w:t>2169号新日财富广场1号楼2404室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kern w:val="1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28"/>
          <w:szCs w:val="28"/>
          <w:lang w:val="en-US" w:eastAsia="zh-CN"/>
        </w:rPr>
        <w:t>根据莆田市市场监督管理局移送的线索移送函（莆市监执函〔2023〕323号），我办依法对当事人开展现场核查。经查，当事人在所属的天猫平台网络零售枸橼酸西地那非片、他达拉非片等处方药违规展示药品包装、标签等信息。在我办发出责令改正通知书后，未在规定时间内改正违法行为，当事人逾期仍未改正违法行为，违反了《药品网络销售监督管理办法》第十三条第四款规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kern w:val="1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28"/>
          <w:szCs w:val="28"/>
          <w:lang w:val="en-US" w:eastAsia="zh-CN"/>
        </w:rPr>
        <w:t>2023年11月21日，我办将行政处罚告知书依法送达当事人，并告知当事人具有陈述申辩的权利。11月27日，我办收到当事人书面提出的陈述和申辩。经复核，我办不采纳当事人的陈述和申辩。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kern w:val="1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28"/>
          <w:szCs w:val="28"/>
          <w:lang w:val="en-US" w:eastAsia="zh-CN"/>
        </w:rPr>
        <w:t>以上事实有当事人的资质证明材料、线索移送函、现场笔录、询问笔录等证据证实。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kern w:val="1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28"/>
          <w:szCs w:val="28"/>
          <w:lang w:val="en-US" w:eastAsia="zh-CN"/>
        </w:rPr>
        <w:t>综上所述，当事人药品网络零售违规展示处方药包装、标签等信息的行为违反了《药品网络销售监督管理办法》第十三条第四款的规定。逾期不改正，依照《药品网络销售监督管理办法》第三十六条的规定，责令当事人改正违法行为并拟作出处罚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kern w:val="1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28"/>
          <w:szCs w:val="28"/>
          <w:lang w:val="en-US" w:eastAsia="zh-CN"/>
        </w:rPr>
        <w:t>罚款65000元。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0" w:rightChars="0"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依据《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中华人民共和国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行政处罚法》第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六十七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条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第三款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规定，</w:t>
      </w:r>
      <w:r>
        <w:rPr>
          <w:rFonts w:hint="eastAsia" w:ascii="仿宋_GB2312" w:hAnsi="仿宋_GB2312" w:eastAsia="仿宋_GB2312" w:cs="仿宋_GB2312"/>
          <w:kern w:val="1"/>
          <w:sz w:val="28"/>
          <w:szCs w:val="28"/>
        </w:rPr>
        <w:t>当事人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接到本行政处罚决定之日起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15日内凭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>福建省药品监督管理局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>开具的缴款通知书，依法缴纳罚没款并将缴纳凭证送交我办。逾期不缴纳的，将依据《中华人民共和国行政处罚法》第七十二条规定，每日按罚款数额的百分之三加处罚款，加处罚款的数额不得超出罚款的数额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</w:rPr>
        <w:t xml:space="preserve">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1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eastAsia="zh-CN"/>
        </w:rPr>
        <w:t>如你（单位）不服本行政处罚决定，可以在收到本行政处罚决定书之日起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eastAsia="zh-CN"/>
        </w:rPr>
        <w:t>六十日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eastAsia="zh-CN"/>
        </w:rPr>
        <w:t>内向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eastAsia="zh-CN"/>
        </w:rPr>
        <w:t>福建省人民政府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eastAsia="zh-CN"/>
        </w:rPr>
        <w:t>申请行政复议；也可以在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  <w:lang w:eastAsia="zh-CN"/>
        </w:rPr>
        <w:t>六个月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none"/>
          <w:lang w:eastAsia="zh-CN"/>
        </w:rPr>
        <w:t>内依法向福州市鼓楼区人民法院提起行政诉讼。申请行政复议或者提起行政诉讼期间，行政处罚不停止执行。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1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1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　　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1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　　　　　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福建省药品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监督管理局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01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福州药品稽查办公室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640" w:firstLine="601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                （印 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right="640" w:firstLine="600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 xml:space="preserve">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both"/>
        <w:textAlignment w:val="auto"/>
        <w:rPr>
          <w:rFonts w:hint="eastAsia" w:ascii="黑体" w:hAnsi="黑体" w:eastAsia="黑体" w:cs="黑体"/>
          <w:color w:val="000000"/>
          <w:sz w:val="30"/>
          <w:szCs w:val="3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 w:val="0"/>
        <w:spacing w:line="580" w:lineRule="exact"/>
        <w:jc w:val="center"/>
        <w:textAlignment w:val="auto"/>
        <w:rPr>
          <w:rFonts w:ascii="黑体" w:hAnsi="黑体" w:eastAsia="黑体" w:cs="黑体"/>
          <w:color w:val="000000"/>
          <w:sz w:val="28"/>
          <w:szCs w:val="28"/>
        </w:rPr>
      </w:pPr>
      <w:r>
        <w:rPr>
          <w:rFonts w:hint="eastAsia" w:ascii="黑体" w:hAnsi="黑体" w:eastAsia="黑体" w:cs="黑体"/>
          <w:color w:val="000000"/>
          <w:sz w:val="30"/>
          <w:szCs w:val="30"/>
          <w:lang w:eastAsia="zh-CN"/>
        </w:rPr>
        <w:t>（我局</w:t>
      </w:r>
      <w:r>
        <w:rPr>
          <w:rFonts w:hint="eastAsia" w:ascii="黑体" w:hAnsi="黑体" w:eastAsia="黑体" w:cs="黑体"/>
          <w:color w:val="000000"/>
          <w:sz w:val="30"/>
          <w:szCs w:val="30"/>
        </w:rPr>
        <w:t>将依法向社会公示本行政处罚决定信息）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/>
        <w:textAlignment w:val="auto"/>
      </w:pPr>
      <w:r>
        <w:rPr>
          <w:rFonts w:ascii="Times New Roman" w:hAnsi="Times New Roman" w:eastAsia="仿宋_GB2312"/>
          <w:sz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-139065</wp:posOffset>
                </wp:positionH>
                <wp:positionV relativeFrom="paragraph">
                  <wp:posOffset>116840</wp:posOffset>
                </wp:positionV>
                <wp:extent cx="5550535" cy="635"/>
                <wp:effectExtent l="0" t="0" r="0" b="0"/>
                <wp:wrapNone/>
                <wp:docPr id="11" name="直接连接符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10.95pt;margin-top:9.2pt;height:0.05pt;width:437.05pt;z-index:251662336;mso-width-relative:page;mso-height-relative:page;" filled="f" stroked="t" coordsize="21600,21600" o:gfxdata="UEsFBgAAAAAAAAAAAAAAAAAAAAAAAFBLAwQKAAAAAACHTuJAAAAAAAAAAAAAAAAABAAAAGRycy9Q&#10;SwMEFAAAAAgAh07iQFNlYbnYAAAACQEAAA8AAABkcnMvZG93bnJldi54bWxNj8tuwjAQRfeV+Adr&#10;kLoDJxGUNMRBCAmpm1JB+wEmHpKIeBzF5hG+vsOqXc7coztn8tXdtuKKvW8cKYinEQik0pmGKgU/&#10;39tJCsIHTUa3jlDBgB5Wxegl15lxN9rj9RAqwSXkM62gDqHLpPRljVb7qeuQODu53urAY19J0+sb&#10;l9tWJlH0Jq1uiC/UusNNjeX5cLEK9hu3W6y72dfHLnyeFo/HgGU1KPU6jqMliID38AfDU5/VoWCn&#10;o7uQ8aJVMEnid0Y5SGcgGEjnSQLi+FzMQRa5/P9B8QtQSwMEFAAAAAgAh07iQAjRraXYAQAAnQMA&#10;AA4AAABkcnMvZTJvRG9jLnhtbK1TzY7TMBC+I/EOlu807aIsq6jpHrYsFwSVgAeY2k5iyX/ymKZ9&#10;CV4AiRucOHLnbdh9DMZuKLvLBSFymIw9nz/P92WyvNxbw3Yqovau5YvZnDPlhJfa9S1/9/b6yQVn&#10;mMBJMN6plh8U8svV40fLMTTqzA/eSBUZkThsxtDyIaXQVBWKQVnAmQ/KUbHz0UKiZewrGWEkdmuq&#10;s/n8vBp9lCF6oRBpd30s8lXh7zol0uuuQ5WYaTn1lkqMJW5zrFZLaPoIYdBiagP+oQsL2tGlJ6o1&#10;JGDvo/6DymoRPfouzYS3le86LVTRQGoW8wdq3gwQVNFC5mA42YT/j1a82m0i05K+3YIzB5a+0c3H&#10;bz8+fL79/onizdcvjCpk0xiwIfSV28RphWETs+Z9F21+kxq2L9YeTtaqfWKCNuu6ntdPa84E1c4p&#10;IY7q99EQMb1Q3rKctNxol3VDA7uXmI7QX5C8bRwbqeP64llmBJqbzkCi1AZSgq4vh9EbLa+1MfkI&#10;xn57ZSLbQZ6E8kw93IPlW9aAwxFXShkGzaBAPneSpUMgixwNM889WCU5M4pmP2cFmUCbv0GSfOMy&#10;tSpzOgnNNh+NzdnWy0Pxu8ormoHi2jSvecjurim/+1etfgJ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WAAAAZHJzL1BLAQIUABQAAAAIAIdO&#10;4kBTZWG52AAAAAkBAAAPAAAAAAAAAAEAIAAAADgAAABkcnMvZG93bnJldi54bWxQSwECFAAUAAAA&#10;CACHTuJACNGtpdgBAACdAwAADgAAAAAAAAABACAAAAA9AQAAZHJzL2Uyb0RvYy54bWxQSwUGAAAA&#10;AAYABgBZAQAAhwUAAAAA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70"/>
                        </a:xfrm>
                        <a:prstGeom prst="line">
                          <a:avLst/>
                        </a:prstGeom>
                        <a:ln w="936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61312;mso-width-relative:page;mso-height-relative:page;" filled="f" stroked="t" coordsize="21600,21600" o:gfxdata="UEsFBgAAAAAAAAAAAAAAAAAAAAAAAFBLAwQKAAAAAACHTuJAAAAAAAAAAAAAAAAABAAAAGRycy9Q&#10;SwMEFAAAAAgAh07iQIvv85HXAAAACgEAAA8AAABkcnMvZG93bnJldi54bWxNj8FOwzAQRO9I/IO1&#10;SNyo3VY0NMTpAVFx4NQUIY6beEkC8dqK3Tb9e4w40OPsrGbeFJvJDuJIY+gda5jPFAjixpmeWw1v&#10;++3dA4gQkQ0OjknDmQJsyuurAnPjTryjYxVbkUI45Kihi9HnUoamI4th5jxx8j7daDEmObbSjHhK&#10;4XaQC6VW0mLPqaFDT08dNd/VwWp4ef+Sfokfe35ud5PfUn1+rUatb2/m6hFEpCn+P8MvfkKHMjHV&#10;7sAmiEFDGhI1LBfZKgOR/LXK7kHUf6c1yLKQlxPKH1BLAwQUAAAACACHTuJArmE4D9sBAACbAwAA&#10;DgAAAGRycy9lMm9Eb2MueG1srVPNjhMxDL4j8Q5R7nTaQdtlR53uYctyQVAJeAA3ycxEyh9x6LQv&#10;wQsgcYMTR+77NiyPsU5aygIXhOjBtWPH9vflm8Xlzhq2VRG1dy2fTaacKSe81K5v+ZvX14+ecIYJ&#10;nATjnWr5XiG/XD58sBhDo2o/eCNVZNTEYTOGlg8phaaqUAzKAk58UI6SnY8WEoWxr2SEkbpbU9XT&#10;6bwafZQheqEQ6XR1SPJl6d91SqSXXYcqMdNy2i0VG4vdZFstF9D0EcKgxXEN+IctLGhHQ0+tVpCA&#10;vYv6j1ZWi+jRd2kivK1812mhCgZCM5v+hubVAEEVLEQOhhNN+P/aihfbdWRa0tvVnDmw9Ea3H75+&#10;e//p+81HsrdfPjPKEE1jwIaqr9w6HiMM65gx77po8z+hYbtC7f5ErdolJujw7Hxez+szzgTlZvV5&#10;Yb76eTdETM+Utyw7LTfaZeDQwPY5JppHpT9K8rFxbGz5xeM5vakA0g2+JccGwoGuLzfRGy2vtTG5&#10;HmO/uTKRbSHroPwyJur6S1kesQIcDnUldVDIoEA+dZKlfSCCHEmZ5wWskpwZRcrPHjWEJoE2f1NJ&#10;o43LF1RR6RFlJvlAa/Y2Xu4L21WOSAFl46Nas8Tux+Tf/6aW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BYAAABkcnMvUEsBAhQAFAAAAAgA&#10;h07iQIvv85HXAAAACgEAAA8AAAAAAAAAAQAgAAAAOAAAAGRycy9kb3ducmV2LnhtbFBLAQIUABQA&#10;AAAIAIdO4kCuYTgP2wEAAJsDAAAOAAAAAAAAAAEAIAAAADwBAABkcnMvZTJvRG9jLnhtbFBLBQYA&#10;AAAABgAGAFkBAACJBQAAAAA=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三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份归档，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non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eastAsia="zh-CN"/>
        </w:rPr>
        <w:t>一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none"/>
          <w:lang w:eastAsia="zh-CN"/>
        </w:rPr>
        <w:t>份留底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ESI仿宋-GB13000">
    <w:panose1 w:val="02000500000000000000"/>
    <w:charset w:val="86"/>
    <w:family w:val="auto"/>
    <w:pitch w:val="default"/>
    <w:sig w:usb0="800002BF" w:usb1="18CF7CF8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8FiLyGwIAACkEAAAOAAAAZHJz&#10;L2Uyb0RvYy54bWytU0uOEzEQ3SNxB8t70kkQoyhKZxRmFIQUMSMNiLXjttMt+SfbSXc4ANyAFRv2&#10;nCvn4NnpThCwQmzsKle5Pq9eLW47rchB+NBYU9LJaEyJMNxWjdmV9MP79YsZJSEyUzFljSjpUQR6&#10;u3z+bNG6uZja2qpKeIIgJsxbV9I6RjcvisBroVkYWScMjNJ6zSJUvysqz1pE16qYjsc3RWt95bzl&#10;IgS83p+NdJnjSyl4fJAyiEhUSVFbzKfP5zadxXLB5jvPXN3wvgz2D1Vo1hgkvYS6Z5GRvW/+CKUb&#10;7m2wMo641YWVsuEi94BuJuPfunmqmRO5F4AT3AWm8P/C8neHR0+aqqRTSgzTGNHp65fTtx+n75/J&#10;NMHTujCH15ODX+xe266k0e/FYAp4T4130ut0oyUCF2B9vOArukg4Hiez6Ww2honDNihIUVy/Ox/i&#10;G2E1SUJJPQaYcWWHTYhn18ElZTN23SiVh6gMaUt68/LVOH+4WBBcGeRIfZyLTVLstl3f3NZWR/Tm&#10;7ZkcwfF1g+QbFuIj82ADCgbD4wMOqSyS2F6ipLb+09/ekz+GBCslLdhVUgP6U6LeGgwvEXEQ/CBs&#10;B8Hs9Z0FXSfYHMeziA8+qkGU3uqPoP0q5ZBMBQRmhiMbRjOIdxFab8T6cLFaXfS9882uvn4GFR2L&#10;G/PkeD/chG1wq30Evhn2hNkZqB5K8DEPrt+dRPhf9ex13fDlT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A8FiLyGwIAACk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951A5D"/>
    <w:rsid w:val="02D568CE"/>
    <w:rsid w:val="0DA82202"/>
    <w:rsid w:val="13951A5D"/>
    <w:rsid w:val="1F4FA0CF"/>
    <w:rsid w:val="3BF9E436"/>
    <w:rsid w:val="3C340AB4"/>
    <w:rsid w:val="3DBF5159"/>
    <w:rsid w:val="3FF6CEC2"/>
    <w:rsid w:val="3FFF836F"/>
    <w:rsid w:val="43941E63"/>
    <w:rsid w:val="47FD6760"/>
    <w:rsid w:val="5FEAABCB"/>
    <w:rsid w:val="6B362C16"/>
    <w:rsid w:val="6CA0320D"/>
    <w:rsid w:val="6F5EE2BB"/>
    <w:rsid w:val="77EF3F20"/>
    <w:rsid w:val="77F7D457"/>
    <w:rsid w:val="7D756484"/>
    <w:rsid w:val="7D7DEC15"/>
    <w:rsid w:val="7E5BA6BF"/>
    <w:rsid w:val="7EFF2329"/>
    <w:rsid w:val="7F3521DF"/>
    <w:rsid w:val="7F3DD903"/>
    <w:rsid w:val="7F5FEDD1"/>
    <w:rsid w:val="7FC719E2"/>
    <w:rsid w:val="7FDFABE7"/>
    <w:rsid w:val="7FFF1279"/>
    <w:rsid w:val="96FE4AE6"/>
    <w:rsid w:val="9B69CBE1"/>
    <w:rsid w:val="9BFD1152"/>
    <w:rsid w:val="AF330547"/>
    <w:rsid w:val="B17FA0CB"/>
    <w:rsid w:val="BB2BD68B"/>
    <w:rsid w:val="BDE595FD"/>
    <w:rsid w:val="BE7AEA91"/>
    <w:rsid w:val="BEF91CBD"/>
    <w:rsid w:val="BFFB619A"/>
    <w:rsid w:val="CFFF1FE8"/>
    <w:rsid w:val="D7DF1F07"/>
    <w:rsid w:val="E6FDF8F0"/>
    <w:rsid w:val="EBBD8BDE"/>
    <w:rsid w:val="EEA79AAF"/>
    <w:rsid w:val="EEF80451"/>
    <w:rsid w:val="EFEF5462"/>
    <w:rsid w:val="EFF744B4"/>
    <w:rsid w:val="F1FF97FD"/>
    <w:rsid w:val="F37D1655"/>
    <w:rsid w:val="F6B32E5D"/>
    <w:rsid w:val="F9BF762A"/>
    <w:rsid w:val="F9FFE73B"/>
    <w:rsid w:val="FFC7D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pPr>
      <w:ind w:firstLine="602" w:firstLineChars="200"/>
    </w:pPr>
    <w:rPr>
      <w:rFonts w:ascii="仿宋" w:hAnsi="仿宋" w:eastAsia="仿宋"/>
      <w:sz w:val="30"/>
      <w:szCs w:val="3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NormalCharacter"/>
    <w:qFormat/>
    <w:uiPriority w:val="0"/>
    <w:rPr>
      <w:rFonts w:ascii="Times New Roman" w:hAnsi="Times New Roman" w:eastAsia="宋体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47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2021-10-23T06:38:00Z</dcterms:created>
  <dc:creator>詹德忠/fjfda</dc:creator>
  <cp:lastModifiedBy>林登泽</cp:lastModifiedBy>
  <cp:lastPrinted>2023-06-29T16:37:00Z</cp:lastPrinted>
  <dcterms:modified xsi:type="dcterms:W3CDTF">2023-12-11T08:56:27Z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8CED490EAF504FA0AC3CD1E75AD5BF77</vt:lpwstr>
  </property>
</Properties>
</file>