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both"/>
        <w:rPr>
          <w:rFonts w:hint="default" w:ascii="Times New Roman" w:hAnsi="Times New Roman" w:eastAsia="仿宋_GB2312" w:cs="Times New Roman"/>
          <w:kern w:val="2"/>
          <w:sz w:val="21"/>
          <w:szCs w:val="24"/>
        </w:rPr>
      </w:pPr>
      <w:r>
        <w:rPr>
          <w:rFonts w:hint="default" w:ascii="CESI黑体-GB2312" w:hAnsi="CESI黑体-GB2312" w:eastAsia="CESI黑体-GB2312" w:cs="CESI黑体-GB2312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  <w:t>附件8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top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shd w:val="clear" w:color="auto" w:fill="FFFFFF"/>
          <w:lang w:bidi="ar"/>
        </w:rPr>
        <w:t>兴县三星油脂有限公司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400" w:lineRule="exact"/>
        <w:ind w:firstLine="646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一、存在问题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1"/>
          <w:szCs w:val="31"/>
          <w:shd w:val="clear" w:color="auto" w:fill="FFFFFF"/>
          <w:lang w:bidi="ar"/>
        </w:rPr>
      </w:pPr>
      <w:r>
        <w:rPr>
          <w:rFonts w:hint="eastAsia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（一）生产环境条件方面。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清理设备和炒锅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有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损坏；未能提供生产设备设施的日常维护保养记录；未能提供监控设备定期检定或校准、维护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的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相关记录；精炼车间未设置灭蝇灯。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二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）生产过程控制方面。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菜籽进货查验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不规范；缺少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委托方对受托方生产行为进行监督的记录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原料库菜籽靠墙堆放，成品库未设置不合格品区域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；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未能提供食品生产相关岗位培训记录。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5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（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eastAsia="zh-CN" w:bidi="ar"/>
        </w:rPr>
        <w:t>三</w:t>
      </w:r>
      <w:r>
        <w:rPr>
          <w:rFonts w:hint="default" w:ascii="楷体_GB2312" w:hAnsi="楷体_GB2312" w:eastAsia="楷体_GB2312" w:cs="楷体_GB2312"/>
          <w:color w:val="000000"/>
          <w:kern w:val="0"/>
          <w:sz w:val="31"/>
          <w:szCs w:val="31"/>
          <w:shd w:val="clear" w:color="auto" w:fill="FFFFFF"/>
          <w:lang w:bidi="ar"/>
        </w:rPr>
        <w:t>）食品安全自查方面。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日管控、周排查、月调度记录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不完整、不规范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640" w:firstLineChars="200"/>
        <w:jc w:val="both"/>
        <w:textAlignment w:val="top"/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</w:pPr>
      <w:r>
        <w:rPr>
          <w:rFonts w:hint="default" w:ascii="CESI黑体-GB2312" w:hAnsi="CESI黑体-GB2312" w:eastAsia="CESI黑体-GB2312" w:cs="CESI黑体-GB2312"/>
          <w:color w:val="000000"/>
          <w:sz w:val="32"/>
          <w:szCs w:val="32"/>
          <w:shd w:val="clear" w:color="auto" w:fill="FFFFFF"/>
          <w:lang w:bidi="ar"/>
        </w:rPr>
        <w:t>二、问题处置情况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依据《食品生产经营监督检查管理办法》（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" w:bidi="ar"/>
        </w:rPr>
        <w:t>市场监管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总局令第49号），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要求企业限期整改。吕梁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市市场监管部门依法处理，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eastAsia="zh-CN" w:bidi="ar"/>
        </w:rPr>
        <w:t>已确认检查发现问题整改完成</w:t>
      </w: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ind w:firstLine="640" w:firstLineChars="200"/>
        <w:jc w:val="both"/>
        <w:textAlignment w:val="top"/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hint="default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bidi="ar"/>
        </w:rPr>
        <w:t>注：检查结果仅对被检查企业当时状态有效。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CESI黑体-GB2312">
    <w:altName w:val="黑体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mOGQ3OGI3MjVlZWUwZDIwNGNlNjY3NTNlZWEyOWMifQ=="/>
  </w:docVars>
  <w:rsids>
    <w:rsidRoot w:val="71EA1146"/>
    <w:rsid w:val="71EA1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before="0" w:after="140" w:line="276" w:lineRule="auto"/>
    </w:pPr>
    <w:rPr>
      <w:rFonts w:ascii="Calibri" w:hAnsi="Calibri" w:cs="Times New Roman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Calibri" w:hAnsi="Calibri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2024-02-01T09:43:00Z</dcterms:created>
  <dc:creator>（＾Ｏ＾☆♪晶晶 </dc:creator>
  <cp:lastModifiedBy>（＾Ｏ＾☆♪晶晶 </cp:lastModifiedBy>
  <dcterms:modified xsi:type="dcterms:W3CDTF">2024-02-01T09:43:32Z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FA55C28C848F4138A7E6D0BCF660F0DE_11</vt:lpwstr>
  </property>
</Properties>
</file>