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B058CB" w14:textId="77777777" w:rsidR="00CF2E27" w:rsidRPr="006C3B37" w:rsidRDefault="00A35A6C">
      <w:pPr>
        <w:jc w:val="center"/>
        <w:rPr>
          <w:rFonts w:ascii="黑体" w:eastAsia="黑体" w:hAnsi="黑体" w:cs="黑体"/>
          <w:bCs/>
          <w:color w:val="000000" w:themeColor="text1"/>
          <w:sz w:val="36"/>
          <w:szCs w:val="36"/>
        </w:rPr>
      </w:pPr>
      <w:r w:rsidRPr="006C3B37">
        <w:rPr>
          <w:rFonts w:ascii="黑体" w:eastAsia="黑体" w:hAnsi="黑体" w:cs="黑体" w:hint="eastAsia"/>
          <w:bCs/>
          <w:color w:val="000000" w:themeColor="text1"/>
          <w:sz w:val="36"/>
          <w:szCs w:val="36"/>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0"/>
        <w:gridCol w:w="1607"/>
        <w:gridCol w:w="6093"/>
      </w:tblGrid>
      <w:tr w:rsidR="006C3B37" w:rsidRPr="006C3B37" w14:paraId="6DA78750" w14:textId="77777777">
        <w:trPr>
          <w:trHeight w:val="926"/>
        </w:trPr>
        <w:tc>
          <w:tcPr>
            <w:tcW w:w="1940" w:type="dxa"/>
            <w:shd w:val="clear" w:color="auto" w:fill="D9D9D9"/>
            <w:vAlign w:val="center"/>
          </w:tcPr>
          <w:p w14:paraId="454B551D" w14:textId="77777777" w:rsidR="00CF2E27" w:rsidRPr="006C3B37" w:rsidRDefault="00A35A6C">
            <w:pPr>
              <w:pStyle w:val="a0"/>
              <w:adjustRightInd w:val="0"/>
              <w:snapToGrid w:val="0"/>
              <w:spacing w:after="0"/>
              <w:rPr>
                <w:rFonts w:ascii="宋体" w:hAnsi="宋体" w:cs="宋体"/>
                <w:bCs/>
                <w:color w:val="000000" w:themeColor="text1"/>
                <w:lang w:val="en-US"/>
              </w:rPr>
            </w:pPr>
            <w:proofErr w:type="spellStart"/>
            <w:r w:rsidRPr="006C3B37">
              <w:rPr>
                <w:rFonts w:ascii="宋体" w:hAnsi="宋体" w:cs="宋体" w:hint="eastAsia"/>
                <w:bCs/>
                <w:color w:val="000000" w:themeColor="text1"/>
              </w:rPr>
              <w:t>案件名称</w:t>
            </w:r>
            <w:proofErr w:type="spellEnd"/>
          </w:p>
        </w:tc>
        <w:tc>
          <w:tcPr>
            <w:tcW w:w="7700" w:type="dxa"/>
            <w:gridSpan w:val="2"/>
            <w:vAlign w:val="center"/>
          </w:tcPr>
          <w:p w14:paraId="760D0C8D" w14:textId="77777777" w:rsidR="00CF2E27" w:rsidRPr="006C3B37" w:rsidRDefault="005108E5" w:rsidP="00BA39BD">
            <w:pPr>
              <w:adjustRightInd w:val="0"/>
              <w:snapToGrid w:val="0"/>
              <w:spacing w:after="0"/>
              <w:rPr>
                <w:rFonts w:ascii="宋体" w:hAnsi="宋体" w:cs="宋体"/>
                <w:bCs/>
                <w:color w:val="000000" w:themeColor="text1"/>
                <w:lang w:val="en-US"/>
              </w:rPr>
            </w:pPr>
            <w:r w:rsidRPr="005108E5">
              <w:rPr>
                <w:rFonts w:ascii="宋体" w:hAnsi="宋体" w:cs="宋体" w:hint="eastAsia"/>
                <w:bCs/>
                <w:color w:val="000000" w:themeColor="text1"/>
                <w:lang w:val="en-US"/>
              </w:rPr>
              <w:t>IMC国际金属切削公司收购日本特殊陶业株式会社部分业务</w:t>
            </w:r>
            <w:r w:rsidR="00BA39BD" w:rsidRPr="006C3B37">
              <w:rPr>
                <w:rFonts w:ascii="宋体" w:hAnsi="宋体" w:cs="宋体" w:hint="eastAsia"/>
                <w:bCs/>
                <w:color w:val="000000" w:themeColor="text1"/>
                <w:lang w:val="en-US"/>
              </w:rPr>
              <w:t>案</w:t>
            </w:r>
          </w:p>
        </w:tc>
      </w:tr>
      <w:tr w:rsidR="006C3B37" w:rsidRPr="006C3B37" w14:paraId="72E97B41" w14:textId="77777777">
        <w:trPr>
          <w:trHeight w:val="1391"/>
        </w:trPr>
        <w:tc>
          <w:tcPr>
            <w:tcW w:w="1940" w:type="dxa"/>
            <w:shd w:val="clear" w:color="auto" w:fill="D9D9D9"/>
            <w:vAlign w:val="center"/>
          </w:tcPr>
          <w:p w14:paraId="4EFEFF46" w14:textId="77777777" w:rsidR="00CF2E27" w:rsidRPr="006C3B37" w:rsidRDefault="00A35A6C">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t>交易概况（限200字内）</w:t>
            </w:r>
          </w:p>
        </w:tc>
        <w:tc>
          <w:tcPr>
            <w:tcW w:w="7700" w:type="dxa"/>
            <w:gridSpan w:val="2"/>
            <w:vAlign w:val="center"/>
          </w:tcPr>
          <w:p w14:paraId="2793F9F9" w14:textId="7DC3530D" w:rsidR="00CF2E27" w:rsidRPr="005D6344" w:rsidRDefault="00106A6A" w:rsidP="003F7C17">
            <w:pPr>
              <w:widowControl w:val="0"/>
              <w:adjustRightInd w:val="0"/>
              <w:snapToGrid w:val="0"/>
              <w:spacing w:after="0"/>
              <w:rPr>
                <w:rFonts w:ascii="宋体" w:hAnsi="宋体" w:cs="宋体"/>
                <w:color w:val="000000" w:themeColor="text1"/>
                <w:lang w:val="en-US"/>
              </w:rPr>
            </w:pPr>
            <w:r w:rsidRPr="005D6344">
              <w:rPr>
                <w:rFonts w:ascii="宋体" w:hAnsi="宋体" w:cs="宋体" w:hint="eastAsia"/>
                <w:color w:val="000000" w:themeColor="text1"/>
                <w:lang w:val="en-US"/>
              </w:rPr>
              <w:t>2</w:t>
            </w:r>
            <w:r w:rsidRPr="005D6344">
              <w:rPr>
                <w:rFonts w:ascii="宋体" w:hAnsi="宋体" w:cs="宋体"/>
                <w:color w:val="000000" w:themeColor="text1"/>
                <w:lang w:val="en-US"/>
              </w:rPr>
              <w:t>022</w:t>
            </w:r>
            <w:r w:rsidRPr="005D6344">
              <w:rPr>
                <w:rFonts w:ascii="宋体" w:hAnsi="宋体" w:cs="宋体" w:hint="eastAsia"/>
                <w:color w:val="000000" w:themeColor="text1"/>
                <w:lang w:val="en-US"/>
              </w:rPr>
              <w:t>年1</w:t>
            </w:r>
            <w:r w:rsidRPr="005D6344">
              <w:rPr>
                <w:rFonts w:ascii="宋体" w:hAnsi="宋体" w:cs="宋体"/>
                <w:color w:val="000000" w:themeColor="text1"/>
                <w:lang w:val="en-US"/>
              </w:rPr>
              <w:t>0</w:t>
            </w:r>
            <w:r w:rsidRPr="005D6344">
              <w:rPr>
                <w:rFonts w:ascii="宋体" w:hAnsi="宋体" w:cs="宋体" w:hint="eastAsia"/>
                <w:color w:val="000000" w:themeColor="text1"/>
                <w:lang w:val="en-US"/>
              </w:rPr>
              <w:t>月，IMC国际金属切削公司</w:t>
            </w:r>
            <w:r w:rsidR="00336A25" w:rsidRPr="005D6344">
              <w:rPr>
                <w:rFonts w:ascii="宋体" w:hAnsi="宋体" w:cs="宋体" w:hint="eastAsia"/>
                <w:color w:val="000000" w:themeColor="text1"/>
                <w:lang w:val="en-US"/>
              </w:rPr>
              <w:t>（“</w:t>
            </w:r>
            <w:r w:rsidRPr="005D6344">
              <w:rPr>
                <w:rFonts w:ascii="宋体" w:hAnsi="宋体" w:cs="宋体" w:hint="eastAsia"/>
                <w:color w:val="000000" w:themeColor="text1"/>
                <w:lang w:val="en-US"/>
              </w:rPr>
              <w:t>IMC</w:t>
            </w:r>
            <w:r w:rsidR="00336A25" w:rsidRPr="005D6344">
              <w:rPr>
                <w:rFonts w:ascii="宋体" w:hAnsi="宋体" w:cs="宋体" w:hint="eastAsia"/>
                <w:color w:val="000000" w:themeColor="text1"/>
                <w:lang w:val="en-US"/>
              </w:rPr>
              <w:t>”）</w:t>
            </w:r>
            <w:r w:rsidR="005D6344">
              <w:rPr>
                <w:rFonts w:ascii="宋体" w:hAnsi="宋体" w:cs="宋体" w:hint="eastAsia"/>
                <w:color w:val="000000" w:themeColor="text1"/>
                <w:lang w:val="en-US"/>
              </w:rPr>
              <w:t>与</w:t>
            </w:r>
            <w:r w:rsidR="005163C2" w:rsidRPr="005D6344">
              <w:rPr>
                <w:rFonts w:ascii="宋体" w:hAnsi="宋体" w:cs="宋体" w:hint="eastAsia"/>
                <w:bCs/>
                <w:color w:val="000000" w:themeColor="text1"/>
                <w:lang w:val="en-US"/>
              </w:rPr>
              <w:t>日本特殊陶业株式会社</w:t>
            </w:r>
            <w:r w:rsidR="005163C2" w:rsidRPr="005D6344">
              <w:rPr>
                <w:rFonts w:ascii="宋体" w:hAnsi="宋体" w:cs="宋体" w:hint="eastAsia"/>
                <w:color w:val="000000" w:themeColor="text1"/>
                <w:lang w:val="en-US"/>
              </w:rPr>
              <w:t>（“日本特殊陶业”）</w:t>
            </w:r>
            <w:r w:rsidR="005D6344">
              <w:rPr>
                <w:rFonts w:ascii="宋体" w:hAnsi="宋体" w:cs="宋体" w:hint="eastAsia"/>
                <w:color w:val="000000" w:themeColor="text1"/>
                <w:lang w:val="en-US"/>
              </w:rPr>
              <w:t>、</w:t>
            </w:r>
            <w:r w:rsidR="009F6555" w:rsidRPr="005D6344">
              <w:rPr>
                <w:rFonts w:ascii="宋体" w:hAnsi="宋体" w:cs="宋体" w:hint="eastAsia"/>
                <w:color w:val="000000" w:themeColor="text1"/>
                <w:lang w:val="en-US"/>
              </w:rPr>
              <w:t>NTK切削工具株式会社</w:t>
            </w:r>
            <w:r w:rsidR="00D90305" w:rsidRPr="005D6344">
              <w:rPr>
                <w:rFonts w:ascii="宋体" w:hAnsi="宋体" w:cs="宋体" w:hint="eastAsia"/>
                <w:color w:val="000000" w:themeColor="text1"/>
                <w:lang w:val="en-US"/>
              </w:rPr>
              <w:t>（“NTK切削工具”）</w:t>
            </w:r>
            <w:r w:rsidR="00CF6739" w:rsidRPr="005D6344">
              <w:rPr>
                <w:rFonts w:ascii="宋体" w:hAnsi="宋体" w:cs="宋体" w:hint="eastAsia"/>
                <w:color w:val="000000" w:themeColor="text1"/>
                <w:lang w:val="en-US"/>
              </w:rPr>
              <w:t>签署</w:t>
            </w:r>
            <w:r w:rsidR="005D6344">
              <w:rPr>
                <w:rFonts w:ascii="宋体" w:hAnsi="宋体" w:cs="宋体" w:hint="eastAsia"/>
                <w:color w:val="000000" w:themeColor="text1"/>
                <w:lang w:val="en-US"/>
              </w:rPr>
              <w:t>合资</w:t>
            </w:r>
            <w:r w:rsidR="00CF6739" w:rsidRPr="005D6344">
              <w:rPr>
                <w:rFonts w:ascii="宋体" w:hAnsi="宋体" w:cs="宋体" w:hint="eastAsia"/>
                <w:color w:val="000000" w:themeColor="text1"/>
                <w:lang w:val="en-US"/>
              </w:rPr>
              <w:t>协议，</w:t>
            </w:r>
            <w:r w:rsidR="00D90305" w:rsidRPr="005D6344">
              <w:rPr>
                <w:rFonts w:ascii="宋体" w:hAnsi="宋体" w:cs="宋体" w:hint="eastAsia"/>
                <w:color w:val="000000" w:themeColor="text1"/>
                <w:lang w:val="en-US"/>
              </w:rPr>
              <w:t>IMC收购日本特殊陶业的切削工具业务</w:t>
            </w:r>
            <w:r w:rsidR="00393D14">
              <w:rPr>
                <w:rFonts w:ascii="宋体" w:hAnsi="宋体" w:cs="宋体" w:hint="eastAsia"/>
                <w:color w:val="000000" w:themeColor="text1"/>
                <w:lang w:val="en-US"/>
              </w:rPr>
              <w:t>（“目标业务”）</w:t>
            </w:r>
            <w:r w:rsidR="00D90305" w:rsidRPr="005D6344">
              <w:rPr>
                <w:rFonts w:ascii="宋体" w:hAnsi="宋体" w:cs="宋体" w:hint="eastAsia"/>
                <w:color w:val="000000" w:themeColor="text1"/>
                <w:lang w:val="en-US"/>
              </w:rPr>
              <w:t>，具体包括两个部分：(1) 收购 NTK切削工具51%的股权；(2) 收购</w:t>
            </w:r>
            <w:r w:rsidR="00613C3C">
              <w:rPr>
                <w:rFonts w:ascii="宋体" w:hAnsi="宋体" w:cs="宋体" w:hint="eastAsia"/>
                <w:color w:val="000000" w:themeColor="text1"/>
                <w:lang w:val="en-US"/>
              </w:rPr>
              <w:t>日本特殊陶业及其关联实体</w:t>
            </w:r>
            <w:r w:rsidR="00D90305" w:rsidRPr="005D6344">
              <w:rPr>
                <w:rFonts w:ascii="宋体" w:hAnsi="宋体" w:cs="宋体" w:hint="eastAsia"/>
                <w:color w:val="000000" w:themeColor="text1"/>
                <w:lang w:val="en-US"/>
              </w:rPr>
              <w:t>在除日本和韩国以外的所有其他国家和地区</w:t>
            </w:r>
            <w:r w:rsidR="008D5354">
              <w:rPr>
                <w:rFonts w:ascii="宋体" w:hAnsi="宋体" w:cs="宋体" w:hint="eastAsia"/>
                <w:color w:val="000000" w:themeColor="text1"/>
                <w:lang w:val="en-US"/>
              </w:rPr>
              <w:t>的</w:t>
            </w:r>
            <w:r w:rsidR="00D90305" w:rsidRPr="005D6344">
              <w:rPr>
                <w:rFonts w:ascii="宋体" w:hAnsi="宋体" w:cs="宋体" w:hint="eastAsia"/>
                <w:color w:val="000000" w:themeColor="text1"/>
                <w:lang w:val="en-US"/>
              </w:rPr>
              <w:t>销售、运营、营销、进口和分销切削工具及其相关产品和服务的所有业务</w:t>
            </w:r>
            <w:r w:rsidR="009C01A5">
              <w:rPr>
                <w:rFonts w:ascii="宋体" w:hAnsi="宋体" w:cs="宋体" w:hint="eastAsia"/>
                <w:color w:val="000000" w:themeColor="text1"/>
                <w:lang w:val="en-US"/>
              </w:rPr>
              <w:t>（“</w:t>
            </w:r>
            <w:r w:rsidR="00ED5E52">
              <w:rPr>
                <w:rFonts w:ascii="宋体" w:hAnsi="宋体" w:cs="宋体" w:hint="eastAsia"/>
                <w:color w:val="000000" w:themeColor="text1"/>
                <w:lang w:val="en-US"/>
              </w:rPr>
              <w:t>N</w:t>
            </w:r>
            <w:r w:rsidR="00ED5E52">
              <w:rPr>
                <w:rFonts w:ascii="宋体" w:hAnsi="宋体" w:cs="宋体"/>
                <w:color w:val="000000" w:themeColor="text1"/>
                <w:lang w:val="en-US"/>
              </w:rPr>
              <w:t>TK</w:t>
            </w:r>
            <w:r w:rsidR="00ED5E52">
              <w:rPr>
                <w:rFonts w:ascii="宋体" w:hAnsi="宋体" w:cs="宋体" w:hint="eastAsia"/>
                <w:color w:val="000000" w:themeColor="text1"/>
                <w:lang w:val="en-US"/>
              </w:rPr>
              <w:t>海外</w:t>
            </w:r>
            <w:r w:rsidR="009C01A5">
              <w:rPr>
                <w:rFonts w:ascii="宋体" w:hAnsi="宋体" w:cs="宋体" w:hint="eastAsia"/>
                <w:color w:val="000000" w:themeColor="text1"/>
                <w:lang w:val="en-US"/>
              </w:rPr>
              <w:t>业务”）</w:t>
            </w:r>
            <w:r w:rsidR="00D90305" w:rsidRPr="005D6344">
              <w:rPr>
                <w:rFonts w:ascii="宋体" w:hAnsi="宋体" w:cs="宋体" w:hint="eastAsia"/>
                <w:color w:val="000000" w:themeColor="text1"/>
                <w:lang w:val="en-US"/>
              </w:rPr>
              <w:t>。</w:t>
            </w:r>
            <w:r w:rsidR="008B29DD" w:rsidRPr="005D6344">
              <w:rPr>
                <w:rFonts w:ascii="宋体" w:hAnsi="宋体" w:cs="宋体" w:hint="eastAsia"/>
                <w:color w:val="000000" w:themeColor="text1"/>
                <w:lang w:val="en-US"/>
              </w:rPr>
              <w:t>交易前，</w:t>
            </w:r>
            <w:r w:rsidR="003B0E8E" w:rsidRPr="005D6344">
              <w:rPr>
                <w:rFonts w:ascii="宋体" w:hAnsi="宋体" w:cs="宋体" w:hint="eastAsia"/>
                <w:color w:val="000000" w:themeColor="text1"/>
                <w:lang w:val="en-US"/>
              </w:rPr>
              <w:t>日本特殊陶业</w:t>
            </w:r>
            <w:r w:rsidR="00C76274">
              <w:rPr>
                <w:rFonts w:ascii="宋体" w:hAnsi="宋体" w:cs="宋体" w:hint="eastAsia"/>
                <w:color w:val="000000" w:themeColor="text1"/>
                <w:lang w:val="en-US"/>
              </w:rPr>
              <w:t>单独</w:t>
            </w:r>
            <w:r w:rsidR="00F43959">
              <w:rPr>
                <w:rFonts w:ascii="宋体" w:hAnsi="宋体" w:cs="宋体" w:hint="eastAsia"/>
                <w:color w:val="000000" w:themeColor="text1"/>
                <w:lang w:val="en-US"/>
              </w:rPr>
              <w:t>持有</w:t>
            </w:r>
            <w:r w:rsidR="00ED5E52">
              <w:rPr>
                <w:rFonts w:ascii="宋体" w:hAnsi="宋体" w:cs="宋体" w:hint="eastAsia"/>
                <w:color w:val="000000" w:themeColor="text1"/>
                <w:lang w:val="en-US"/>
              </w:rPr>
              <w:t>目标业务，即</w:t>
            </w:r>
            <w:r w:rsidR="003F7C17">
              <w:rPr>
                <w:rFonts w:ascii="宋体" w:hAnsi="宋体" w:cs="宋体" w:hint="eastAsia"/>
                <w:color w:val="000000" w:themeColor="text1"/>
                <w:lang w:val="en-US"/>
              </w:rPr>
              <w:t>N</w:t>
            </w:r>
            <w:r w:rsidR="003F7C17">
              <w:rPr>
                <w:rFonts w:ascii="宋体" w:hAnsi="宋体" w:cs="宋体"/>
                <w:color w:val="000000" w:themeColor="text1"/>
                <w:lang w:val="en-US"/>
              </w:rPr>
              <w:t>TK</w:t>
            </w:r>
            <w:r w:rsidR="003F7C17">
              <w:rPr>
                <w:rFonts w:ascii="宋体" w:hAnsi="宋体" w:cs="宋体" w:hint="eastAsia"/>
                <w:color w:val="000000" w:themeColor="text1"/>
                <w:lang w:val="en-US"/>
              </w:rPr>
              <w:t>海外业务和</w:t>
            </w:r>
            <w:r w:rsidR="003627C4" w:rsidRPr="005D6344">
              <w:rPr>
                <w:rFonts w:ascii="宋体" w:hAnsi="宋体" w:cs="宋体" w:hint="eastAsia"/>
                <w:color w:val="000000" w:themeColor="text1"/>
                <w:lang w:val="en-US"/>
              </w:rPr>
              <w:t>NTK切削工具</w:t>
            </w:r>
            <w:r w:rsidR="00F43959">
              <w:rPr>
                <w:rFonts w:ascii="宋体" w:hAnsi="宋体" w:cs="宋体" w:hint="eastAsia"/>
                <w:color w:val="000000" w:themeColor="text1"/>
                <w:lang w:val="en-US"/>
              </w:rPr>
              <w:t>1</w:t>
            </w:r>
            <w:r w:rsidR="00F43959">
              <w:rPr>
                <w:rFonts w:ascii="宋体" w:hAnsi="宋体" w:cs="宋体"/>
                <w:color w:val="000000" w:themeColor="text1"/>
                <w:lang w:val="en-US"/>
              </w:rPr>
              <w:t>00</w:t>
            </w:r>
            <w:r w:rsidR="00F43959">
              <w:rPr>
                <w:rFonts w:ascii="宋体" w:hAnsi="宋体" w:cs="宋体" w:hint="eastAsia"/>
                <w:color w:val="000000" w:themeColor="text1"/>
                <w:lang w:val="en-US"/>
              </w:rPr>
              <w:t>%股权</w:t>
            </w:r>
            <w:r w:rsidR="004733AB" w:rsidRPr="005D6344">
              <w:rPr>
                <w:rFonts w:ascii="宋体" w:hAnsi="宋体" w:cs="宋体" w:hint="eastAsia"/>
                <w:color w:val="000000" w:themeColor="text1"/>
                <w:lang w:val="en-US"/>
              </w:rPr>
              <w:t>。交易后，</w:t>
            </w:r>
            <w:r w:rsidR="003B0E8E" w:rsidRPr="005D6344">
              <w:rPr>
                <w:rFonts w:ascii="宋体" w:hAnsi="宋体" w:cs="宋体" w:hint="eastAsia"/>
                <w:color w:val="000000" w:themeColor="text1"/>
                <w:lang w:val="en-US"/>
              </w:rPr>
              <w:t>IMC</w:t>
            </w:r>
            <w:r w:rsidR="00C6378F">
              <w:rPr>
                <w:rFonts w:ascii="宋体" w:hAnsi="宋体" w:cs="宋体" w:hint="eastAsia"/>
                <w:color w:val="000000" w:themeColor="text1"/>
                <w:lang w:val="en-US"/>
              </w:rPr>
              <w:t>将</w:t>
            </w:r>
            <w:r w:rsidR="00C76274">
              <w:rPr>
                <w:rFonts w:ascii="宋体" w:hAnsi="宋体" w:cs="宋体" w:hint="eastAsia"/>
                <w:color w:val="000000" w:themeColor="text1"/>
                <w:lang w:val="en-US"/>
              </w:rPr>
              <w:t>单独</w:t>
            </w:r>
            <w:r w:rsidR="00C6378F">
              <w:rPr>
                <w:rFonts w:ascii="宋体" w:hAnsi="宋体" w:cs="宋体" w:hint="eastAsia"/>
                <w:color w:val="000000" w:themeColor="text1"/>
                <w:lang w:val="en-US"/>
              </w:rPr>
              <w:t>持有</w:t>
            </w:r>
            <w:r w:rsidR="008E716D" w:rsidRPr="005D6344">
              <w:rPr>
                <w:rFonts w:ascii="宋体" w:hAnsi="宋体" w:cs="宋体" w:hint="eastAsia"/>
                <w:color w:val="000000" w:themeColor="text1"/>
                <w:lang w:val="en-US"/>
              </w:rPr>
              <w:t>NTK海外业务，</w:t>
            </w:r>
            <w:r w:rsidR="003B0E8E">
              <w:rPr>
                <w:rFonts w:ascii="宋体" w:hAnsi="宋体" w:cs="宋体" w:hint="eastAsia"/>
                <w:color w:val="000000" w:themeColor="text1"/>
                <w:lang w:val="en-US"/>
              </w:rPr>
              <w:t>I</w:t>
            </w:r>
            <w:r w:rsidR="003B0E8E">
              <w:rPr>
                <w:rFonts w:ascii="宋体" w:hAnsi="宋体" w:cs="宋体"/>
                <w:color w:val="000000" w:themeColor="text1"/>
                <w:lang w:val="en-US"/>
              </w:rPr>
              <w:t>MC</w:t>
            </w:r>
            <w:r w:rsidR="003B0E8E">
              <w:rPr>
                <w:rFonts w:ascii="宋体" w:hAnsi="宋体" w:cs="宋体" w:hint="eastAsia"/>
                <w:color w:val="000000" w:themeColor="text1"/>
                <w:lang w:val="en-US"/>
              </w:rPr>
              <w:t>和</w:t>
            </w:r>
            <w:r w:rsidR="003B0E8E" w:rsidRPr="005D6344">
              <w:rPr>
                <w:rFonts w:ascii="宋体" w:hAnsi="宋体" w:cs="宋体" w:hint="eastAsia"/>
                <w:color w:val="000000" w:themeColor="text1"/>
                <w:lang w:val="en-US"/>
              </w:rPr>
              <w:t>日本特殊陶业</w:t>
            </w:r>
            <w:r w:rsidR="00C6378F">
              <w:rPr>
                <w:rFonts w:ascii="宋体" w:hAnsi="宋体" w:cs="宋体" w:hint="eastAsia"/>
                <w:color w:val="000000" w:themeColor="text1"/>
                <w:lang w:val="en-US"/>
              </w:rPr>
              <w:t>将</w:t>
            </w:r>
            <w:r w:rsidR="00C76274">
              <w:rPr>
                <w:rFonts w:ascii="宋体" w:hAnsi="宋体" w:cs="宋体" w:hint="eastAsia"/>
                <w:color w:val="000000" w:themeColor="text1"/>
                <w:lang w:val="en-US"/>
              </w:rPr>
              <w:t>分别持有</w:t>
            </w:r>
            <w:r w:rsidR="001058F9">
              <w:rPr>
                <w:rFonts w:ascii="宋体" w:hAnsi="宋体" w:cs="宋体" w:hint="eastAsia"/>
                <w:color w:val="000000" w:themeColor="text1"/>
                <w:lang w:val="en-US"/>
              </w:rPr>
              <w:t>NTK切削工具5</w:t>
            </w:r>
            <w:r w:rsidR="001058F9">
              <w:rPr>
                <w:rFonts w:ascii="宋体" w:hAnsi="宋体" w:cs="宋体"/>
                <w:color w:val="000000" w:themeColor="text1"/>
                <w:lang w:val="en-US"/>
              </w:rPr>
              <w:t>1</w:t>
            </w:r>
            <w:r w:rsidR="001058F9">
              <w:rPr>
                <w:rFonts w:ascii="宋体" w:hAnsi="宋体" w:cs="宋体" w:hint="eastAsia"/>
                <w:color w:val="000000" w:themeColor="text1"/>
                <w:lang w:val="en-US"/>
              </w:rPr>
              <w:t>%和4</w:t>
            </w:r>
            <w:r w:rsidR="001058F9">
              <w:rPr>
                <w:rFonts w:ascii="宋体" w:hAnsi="宋体" w:cs="宋体"/>
                <w:color w:val="000000" w:themeColor="text1"/>
                <w:lang w:val="en-US"/>
              </w:rPr>
              <w:t>9</w:t>
            </w:r>
            <w:r w:rsidR="001058F9">
              <w:rPr>
                <w:rFonts w:ascii="宋体" w:hAnsi="宋体" w:cs="宋体" w:hint="eastAsia"/>
                <w:color w:val="000000" w:themeColor="text1"/>
                <w:lang w:val="en-US"/>
              </w:rPr>
              <w:t>%的股权，</w:t>
            </w:r>
            <w:r w:rsidR="003B0E8E">
              <w:rPr>
                <w:rFonts w:ascii="宋体" w:hAnsi="宋体" w:cs="宋体" w:hint="eastAsia"/>
                <w:color w:val="000000" w:themeColor="text1"/>
                <w:lang w:val="en-US"/>
              </w:rPr>
              <w:t>共同</w:t>
            </w:r>
            <w:r w:rsidR="002A1857">
              <w:rPr>
                <w:rFonts w:ascii="宋体" w:hAnsi="宋体" w:cs="宋体" w:hint="eastAsia"/>
                <w:color w:val="000000" w:themeColor="text1"/>
                <w:lang w:val="en-US"/>
              </w:rPr>
              <w:t>控制</w:t>
            </w:r>
            <w:r w:rsidR="003B0E8E" w:rsidRPr="005D6344">
              <w:rPr>
                <w:rFonts w:ascii="宋体" w:hAnsi="宋体" w:cs="宋体" w:hint="eastAsia"/>
                <w:color w:val="000000" w:themeColor="text1"/>
                <w:lang w:val="en-US"/>
              </w:rPr>
              <w:t>NTK切削工具</w:t>
            </w:r>
            <w:r w:rsidR="00183904" w:rsidRPr="005D6344">
              <w:rPr>
                <w:rFonts w:ascii="宋体" w:hAnsi="宋体" w:cs="宋体" w:hint="eastAsia"/>
                <w:color w:val="000000" w:themeColor="text1"/>
                <w:lang w:val="en-US"/>
              </w:rPr>
              <w:t>。</w:t>
            </w:r>
          </w:p>
        </w:tc>
      </w:tr>
      <w:tr w:rsidR="007A75FF" w:rsidRPr="006C3B37" w14:paraId="60E350DD" w14:textId="77777777">
        <w:trPr>
          <w:trHeight w:val="942"/>
        </w:trPr>
        <w:tc>
          <w:tcPr>
            <w:tcW w:w="1940" w:type="dxa"/>
            <w:vMerge w:val="restart"/>
            <w:shd w:val="clear" w:color="auto" w:fill="D9D9D9"/>
            <w:vAlign w:val="center"/>
          </w:tcPr>
          <w:p w14:paraId="022A567E" w14:textId="77777777" w:rsidR="007A75FF" w:rsidRPr="006C3B37" w:rsidRDefault="007A75FF">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t>参与集中的经营者简介（每个限</w:t>
            </w:r>
            <w:r w:rsidRPr="006C3B37">
              <w:rPr>
                <w:rFonts w:ascii="宋体" w:hAnsi="宋体" w:cs="宋体" w:hint="eastAsia"/>
                <w:bCs/>
                <w:color w:val="000000" w:themeColor="text1"/>
                <w:lang w:val="en-US" w:eastAsia="zh-CN"/>
              </w:rPr>
              <w:t>100字以内</w:t>
            </w:r>
            <w:r w:rsidRPr="006C3B37">
              <w:rPr>
                <w:rFonts w:ascii="宋体" w:hAnsi="宋体" w:cs="宋体" w:hint="eastAsia"/>
                <w:bCs/>
                <w:color w:val="000000" w:themeColor="text1"/>
                <w:lang w:eastAsia="zh-CN"/>
              </w:rPr>
              <w:t>）</w:t>
            </w:r>
          </w:p>
        </w:tc>
        <w:tc>
          <w:tcPr>
            <w:tcW w:w="1607" w:type="dxa"/>
            <w:vAlign w:val="center"/>
          </w:tcPr>
          <w:p w14:paraId="2D44C637" w14:textId="77777777" w:rsidR="007A75FF" w:rsidRPr="006C3B37" w:rsidRDefault="007A75FF">
            <w:pPr>
              <w:pStyle w:val="a0"/>
              <w:adjustRightInd w:val="0"/>
              <w:snapToGrid w:val="0"/>
              <w:spacing w:after="0"/>
              <w:rPr>
                <w:rFonts w:ascii="宋体" w:hAnsi="宋体" w:cs="宋体"/>
                <w:bCs/>
                <w:color w:val="000000" w:themeColor="text1"/>
                <w:lang w:eastAsia="zh-CN"/>
              </w:rPr>
            </w:pPr>
            <w:r w:rsidRPr="006C3B37">
              <w:rPr>
                <w:rFonts w:ascii="宋体" w:hAnsi="宋体" w:cs="宋体" w:hint="eastAsia"/>
                <w:bCs/>
                <w:color w:val="000000" w:themeColor="text1"/>
                <w:lang w:val="en-US" w:eastAsia="zh-CN"/>
              </w:rPr>
              <w:t>1.</w:t>
            </w:r>
            <w:r>
              <w:rPr>
                <w:rFonts w:ascii="宋体" w:hAnsi="宋体" w:cs="宋体" w:hint="eastAsia"/>
                <w:bCs/>
                <w:color w:val="000000" w:themeColor="text1"/>
                <w:lang w:val="en-US" w:eastAsia="zh-CN"/>
              </w:rPr>
              <w:t>IMC</w:t>
            </w:r>
          </w:p>
        </w:tc>
        <w:tc>
          <w:tcPr>
            <w:tcW w:w="6093" w:type="dxa"/>
            <w:vAlign w:val="center"/>
          </w:tcPr>
          <w:p w14:paraId="4274E66D" w14:textId="77777777" w:rsidR="007A75FF" w:rsidRDefault="007A75FF">
            <w:pPr>
              <w:adjustRightInd w:val="0"/>
              <w:snapToGrid w:val="0"/>
              <w:spacing w:after="0"/>
              <w:rPr>
                <w:rFonts w:ascii="宋体" w:hAnsi="宋体" w:cs="宋体"/>
                <w:bCs/>
                <w:color w:val="000000" w:themeColor="text1"/>
                <w:lang w:val="en-US"/>
              </w:rPr>
            </w:pPr>
            <w:r>
              <w:rPr>
                <w:rFonts w:ascii="宋体" w:hAnsi="宋体" w:cs="宋体" w:hint="eastAsia"/>
                <w:bCs/>
                <w:color w:val="000000" w:themeColor="text1"/>
                <w:lang w:val="en-US"/>
              </w:rPr>
              <w:t>IMC于1</w:t>
            </w:r>
            <w:r>
              <w:rPr>
                <w:rFonts w:ascii="宋体" w:hAnsi="宋体" w:cs="宋体"/>
                <w:bCs/>
                <w:color w:val="000000" w:themeColor="text1"/>
                <w:lang w:val="en-US"/>
              </w:rPr>
              <w:t>962</w:t>
            </w:r>
            <w:r>
              <w:rPr>
                <w:rFonts w:ascii="宋体" w:hAnsi="宋体" w:cs="宋体" w:hint="eastAsia"/>
                <w:bCs/>
                <w:color w:val="000000" w:themeColor="text1"/>
                <w:lang w:val="en-US"/>
              </w:rPr>
              <w:t>年</w:t>
            </w:r>
            <w:r>
              <w:rPr>
                <w:rFonts w:ascii="宋体" w:hAnsi="宋体" w:cs="宋体"/>
                <w:bCs/>
                <w:color w:val="000000" w:themeColor="text1"/>
                <w:lang w:val="en-US"/>
              </w:rPr>
              <w:t>2</w:t>
            </w:r>
            <w:r>
              <w:rPr>
                <w:rFonts w:ascii="宋体" w:hAnsi="宋体" w:cs="宋体" w:hint="eastAsia"/>
                <w:bCs/>
                <w:color w:val="000000" w:themeColor="text1"/>
                <w:lang w:val="en-US"/>
              </w:rPr>
              <w:t>月2</w:t>
            </w:r>
            <w:r>
              <w:rPr>
                <w:rFonts w:ascii="宋体" w:hAnsi="宋体" w:cs="宋体"/>
                <w:bCs/>
                <w:color w:val="000000" w:themeColor="text1"/>
                <w:lang w:val="en-US"/>
              </w:rPr>
              <w:t>1</w:t>
            </w:r>
            <w:r>
              <w:rPr>
                <w:rFonts w:ascii="宋体" w:hAnsi="宋体" w:cs="宋体" w:hint="eastAsia"/>
                <w:bCs/>
                <w:color w:val="000000" w:themeColor="text1"/>
                <w:lang w:val="en-US"/>
              </w:rPr>
              <w:t>日成立于荷兰，主要</w:t>
            </w:r>
            <w:r w:rsidRPr="00FC5E79">
              <w:rPr>
                <w:rFonts w:ascii="宋体" w:hAnsi="宋体" w:cs="宋体" w:hint="eastAsia"/>
                <w:bCs/>
                <w:color w:val="000000" w:themeColor="text1"/>
                <w:lang w:val="en-US"/>
              </w:rPr>
              <w:t>从事金属切削工具业务，包括广泛的硬质合金刀片、硬质合金立铣刀和用于先进金属去除应用的切削工具。IMC还为世界各地的汽车、航空航天、能源和模具生产等主要行业提供工程和制造解决方案。</w:t>
            </w:r>
          </w:p>
          <w:p w14:paraId="19B8C827" w14:textId="2978E346" w:rsidR="007A75FF" w:rsidRPr="00D51C29" w:rsidRDefault="007A75FF" w:rsidP="0063623C">
            <w:pPr>
              <w:adjustRightInd w:val="0"/>
              <w:snapToGrid w:val="0"/>
              <w:spacing w:after="0"/>
              <w:rPr>
                <w:rFonts w:ascii="宋体" w:hAnsi="宋体" w:cs="宋体"/>
                <w:bCs/>
                <w:color w:val="000000" w:themeColor="text1"/>
                <w:lang w:val="en-US"/>
              </w:rPr>
            </w:pPr>
            <w:r>
              <w:rPr>
                <w:rFonts w:ascii="宋体" w:hAnsi="宋体" w:cs="宋体" w:hint="eastAsia"/>
                <w:bCs/>
                <w:color w:val="000000" w:themeColor="text1"/>
                <w:lang w:val="en-US"/>
              </w:rPr>
              <w:t>IMC最终控制人为</w:t>
            </w:r>
            <w:r w:rsidRPr="00983A92">
              <w:rPr>
                <w:rFonts w:ascii="宋体" w:hAnsi="宋体" w:cs="宋体" w:hint="eastAsia"/>
                <w:bCs/>
                <w:color w:val="000000" w:themeColor="text1"/>
                <w:lang w:val="en-US"/>
              </w:rPr>
              <w:t>伯克希尔哈撒韦公司</w:t>
            </w:r>
            <w:r>
              <w:rPr>
                <w:rFonts w:ascii="宋体" w:hAnsi="宋体" w:cs="宋体" w:hint="eastAsia"/>
                <w:bCs/>
                <w:color w:val="000000" w:themeColor="text1"/>
                <w:lang w:val="en-US"/>
              </w:rPr>
              <w:t>，</w:t>
            </w:r>
            <w:r w:rsidRPr="00E850EA">
              <w:rPr>
                <w:rFonts w:ascii="宋体" w:hAnsi="宋体" w:cs="宋体" w:hint="eastAsia"/>
                <w:bCs/>
                <w:color w:val="000000" w:themeColor="text1"/>
                <w:lang w:val="en-US"/>
              </w:rPr>
              <w:t>是一家控股</w:t>
            </w:r>
            <w:r>
              <w:rPr>
                <w:rFonts w:ascii="宋体" w:hAnsi="宋体" w:cs="宋体" w:hint="eastAsia"/>
                <w:bCs/>
                <w:color w:val="000000" w:themeColor="text1"/>
                <w:lang w:val="en-US"/>
              </w:rPr>
              <w:t>公司，</w:t>
            </w:r>
            <w:r w:rsidR="00F77DB1">
              <w:rPr>
                <w:rFonts w:ascii="宋体" w:hAnsi="宋体" w:cs="宋体" w:hint="eastAsia"/>
                <w:bCs/>
                <w:color w:val="000000" w:themeColor="text1"/>
                <w:lang w:val="en-US"/>
              </w:rPr>
              <w:t>在全球范围内的诸多行业领域（</w:t>
            </w:r>
            <w:r>
              <w:rPr>
                <w:rFonts w:ascii="宋体" w:hAnsi="宋体" w:cs="宋体" w:hint="eastAsia"/>
                <w:bCs/>
                <w:color w:val="000000" w:themeColor="text1"/>
                <w:lang w:val="en-US"/>
              </w:rPr>
              <w:t>包括</w:t>
            </w:r>
            <w:r w:rsidRPr="00E850EA">
              <w:rPr>
                <w:rFonts w:ascii="宋体" w:hAnsi="宋体" w:cs="宋体" w:hint="eastAsia"/>
                <w:bCs/>
                <w:color w:val="000000" w:themeColor="text1"/>
                <w:lang w:val="en-US"/>
              </w:rPr>
              <w:t>保险、铁路货运</w:t>
            </w:r>
            <w:r w:rsidR="0063623C">
              <w:rPr>
                <w:rFonts w:ascii="宋体" w:hAnsi="宋体" w:cs="宋体" w:hint="eastAsia"/>
                <w:bCs/>
                <w:color w:val="000000" w:themeColor="text1"/>
                <w:lang w:val="en-US"/>
              </w:rPr>
              <w:t>、公用事业、能源、</w:t>
            </w:r>
            <w:r w:rsidR="002955DE">
              <w:rPr>
                <w:rFonts w:ascii="宋体" w:hAnsi="宋体" w:cs="宋体" w:hint="eastAsia"/>
                <w:bCs/>
                <w:color w:val="000000" w:themeColor="text1"/>
                <w:lang w:val="en-US"/>
              </w:rPr>
              <w:t>零售和服务</w:t>
            </w:r>
            <w:r>
              <w:rPr>
                <w:rFonts w:ascii="宋体" w:hAnsi="宋体" w:cs="宋体" w:hint="eastAsia"/>
                <w:bCs/>
                <w:color w:val="000000" w:themeColor="text1"/>
                <w:lang w:val="en-US"/>
              </w:rPr>
              <w:t>等</w:t>
            </w:r>
            <w:r w:rsidR="00134579">
              <w:rPr>
                <w:rFonts w:ascii="宋体" w:hAnsi="宋体" w:cs="宋体" w:hint="eastAsia"/>
                <w:bCs/>
                <w:color w:val="000000" w:themeColor="text1"/>
                <w:lang w:val="en-US"/>
              </w:rPr>
              <w:t>）开展投资业务</w:t>
            </w:r>
            <w:r>
              <w:rPr>
                <w:rFonts w:ascii="宋体" w:hAnsi="宋体" w:cs="宋体" w:hint="eastAsia"/>
                <w:bCs/>
                <w:color w:val="000000" w:themeColor="text1"/>
                <w:lang w:val="en-US"/>
              </w:rPr>
              <w:t>。</w:t>
            </w:r>
          </w:p>
        </w:tc>
      </w:tr>
      <w:tr w:rsidR="007A75FF" w:rsidRPr="006C3B37" w14:paraId="348FDE45" w14:textId="77777777">
        <w:trPr>
          <w:trHeight w:val="984"/>
        </w:trPr>
        <w:tc>
          <w:tcPr>
            <w:tcW w:w="1940" w:type="dxa"/>
            <w:vMerge/>
            <w:shd w:val="clear" w:color="auto" w:fill="D9D9D9"/>
            <w:vAlign w:val="center"/>
          </w:tcPr>
          <w:p w14:paraId="0BA2202E" w14:textId="77777777" w:rsidR="007A75FF" w:rsidRPr="006C3B37" w:rsidRDefault="007A75FF">
            <w:pPr>
              <w:pStyle w:val="a0"/>
              <w:adjustRightInd w:val="0"/>
              <w:snapToGrid w:val="0"/>
              <w:spacing w:after="0"/>
              <w:rPr>
                <w:rFonts w:ascii="宋体" w:hAnsi="宋体" w:cs="宋体"/>
                <w:bCs/>
                <w:color w:val="000000" w:themeColor="text1"/>
                <w:lang w:val="en-US" w:eastAsia="zh-CN"/>
              </w:rPr>
            </w:pPr>
          </w:p>
        </w:tc>
        <w:tc>
          <w:tcPr>
            <w:tcW w:w="1607" w:type="dxa"/>
            <w:vAlign w:val="center"/>
          </w:tcPr>
          <w:p w14:paraId="65B93BC8" w14:textId="77777777" w:rsidR="007A75FF" w:rsidRPr="006C3B37" w:rsidRDefault="007A75FF" w:rsidP="006C3B37">
            <w:pPr>
              <w:pStyle w:val="a0"/>
              <w:adjustRightInd w:val="0"/>
              <w:snapToGrid w:val="0"/>
              <w:spacing w:after="0"/>
              <w:rPr>
                <w:rFonts w:ascii="宋体" w:hAnsi="宋体" w:cs="宋体"/>
                <w:bCs/>
                <w:color w:val="000000" w:themeColor="text1"/>
                <w:lang w:eastAsia="zh-CN"/>
              </w:rPr>
            </w:pPr>
            <w:r w:rsidRPr="006C3B37">
              <w:rPr>
                <w:rFonts w:ascii="宋体" w:hAnsi="宋体" w:cs="宋体" w:hint="eastAsia"/>
                <w:bCs/>
                <w:color w:val="000000" w:themeColor="text1"/>
                <w:lang w:val="en-US" w:eastAsia="zh-CN"/>
              </w:rPr>
              <w:t>2.</w:t>
            </w:r>
            <w:r>
              <w:rPr>
                <w:rFonts w:ascii="宋体" w:hAnsi="宋体" w:cs="宋体" w:hint="eastAsia"/>
                <w:bCs/>
                <w:color w:val="000000" w:themeColor="text1"/>
                <w:lang w:val="en-US" w:eastAsia="zh-CN"/>
              </w:rPr>
              <w:t>日本特殊陶业</w:t>
            </w:r>
          </w:p>
        </w:tc>
        <w:tc>
          <w:tcPr>
            <w:tcW w:w="6093" w:type="dxa"/>
            <w:vAlign w:val="center"/>
          </w:tcPr>
          <w:p w14:paraId="0E3754E8" w14:textId="77777777" w:rsidR="007A75FF" w:rsidRDefault="007A75FF">
            <w:pPr>
              <w:adjustRightInd w:val="0"/>
              <w:snapToGrid w:val="0"/>
              <w:spacing w:after="0"/>
              <w:rPr>
                <w:rFonts w:ascii="宋体" w:hAnsi="宋体" w:cs="宋体"/>
                <w:bCs/>
                <w:color w:val="000000" w:themeColor="text1"/>
                <w:lang w:val="en-US"/>
              </w:rPr>
            </w:pPr>
            <w:r>
              <w:rPr>
                <w:rFonts w:ascii="宋体" w:hAnsi="宋体" w:cs="宋体" w:hint="eastAsia"/>
                <w:bCs/>
                <w:color w:val="000000" w:themeColor="text1"/>
                <w:lang w:val="en-US"/>
              </w:rPr>
              <w:t>日本特殊陶业于1</w:t>
            </w:r>
            <w:r>
              <w:rPr>
                <w:rFonts w:ascii="宋体" w:hAnsi="宋体" w:cs="宋体"/>
                <w:bCs/>
                <w:color w:val="000000" w:themeColor="text1"/>
                <w:lang w:val="en-US"/>
              </w:rPr>
              <w:t>936</w:t>
            </w:r>
            <w:r>
              <w:rPr>
                <w:rFonts w:ascii="宋体" w:hAnsi="宋体" w:cs="宋体" w:hint="eastAsia"/>
                <w:bCs/>
                <w:color w:val="000000" w:themeColor="text1"/>
                <w:lang w:val="en-US"/>
              </w:rPr>
              <w:t>年</w:t>
            </w:r>
            <w:r>
              <w:rPr>
                <w:rFonts w:ascii="宋体" w:hAnsi="宋体" w:cs="宋体"/>
                <w:bCs/>
                <w:color w:val="000000" w:themeColor="text1"/>
                <w:lang w:val="en-US"/>
              </w:rPr>
              <w:t>10</w:t>
            </w:r>
            <w:r>
              <w:rPr>
                <w:rFonts w:ascii="宋体" w:hAnsi="宋体" w:cs="宋体" w:hint="eastAsia"/>
                <w:bCs/>
                <w:color w:val="000000" w:themeColor="text1"/>
                <w:lang w:val="en-US"/>
              </w:rPr>
              <w:t>月2</w:t>
            </w:r>
            <w:r>
              <w:rPr>
                <w:rFonts w:ascii="宋体" w:hAnsi="宋体" w:cs="宋体"/>
                <w:bCs/>
                <w:color w:val="000000" w:themeColor="text1"/>
                <w:lang w:val="en-US"/>
              </w:rPr>
              <w:t>6</w:t>
            </w:r>
            <w:r>
              <w:rPr>
                <w:rFonts w:ascii="宋体" w:hAnsi="宋体" w:cs="宋体" w:hint="eastAsia"/>
                <w:bCs/>
                <w:color w:val="000000" w:themeColor="text1"/>
                <w:lang w:val="en-US"/>
              </w:rPr>
              <w:t>日成立于日本，为东京交易所和名古屋交易所上市公司，主要业务为</w:t>
            </w:r>
            <w:r w:rsidRPr="00444AEA">
              <w:rPr>
                <w:rFonts w:ascii="宋体" w:hAnsi="宋体" w:cs="宋体" w:hint="eastAsia"/>
                <w:bCs/>
                <w:color w:val="000000" w:themeColor="text1"/>
                <w:lang w:val="en-US"/>
              </w:rPr>
              <w:t>生产和销售自动化产品、陶瓷产品（即机床用切削工具、工业用陶瓷产品、半导体制造设备产品、集成电路封装及其他半导体部件、医用制氧机等）以及与环境和能源领域新业务相关的产品</w:t>
            </w:r>
            <w:r>
              <w:rPr>
                <w:rFonts w:ascii="宋体" w:hAnsi="宋体" w:cs="宋体" w:hint="eastAsia"/>
                <w:bCs/>
                <w:color w:val="000000" w:themeColor="text1"/>
                <w:lang w:val="en-US"/>
              </w:rPr>
              <w:t>。</w:t>
            </w:r>
          </w:p>
          <w:p w14:paraId="7BC0F54F" w14:textId="77777777" w:rsidR="007A75FF" w:rsidRPr="002C39F0" w:rsidRDefault="007A75FF" w:rsidP="001F09D2">
            <w:pPr>
              <w:adjustRightInd w:val="0"/>
              <w:snapToGrid w:val="0"/>
              <w:spacing w:after="0"/>
              <w:rPr>
                <w:rFonts w:ascii="宋体" w:hAnsi="宋体" w:cs="宋体"/>
                <w:bCs/>
                <w:color w:val="000000" w:themeColor="text1"/>
                <w:lang w:val="en-US"/>
              </w:rPr>
            </w:pPr>
            <w:r>
              <w:rPr>
                <w:rFonts w:ascii="宋体" w:hAnsi="宋体" w:cs="宋体" w:hint="eastAsia"/>
                <w:bCs/>
                <w:color w:val="000000" w:themeColor="text1"/>
                <w:lang w:val="en-US"/>
              </w:rPr>
              <w:t>日本特殊陶业</w:t>
            </w:r>
            <w:proofErr w:type="gramStart"/>
            <w:r>
              <w:rPr>
                <w:rFonts w:ascii="宋体" w:hAnsi="宋体" w:cs="宋体" w:hint="eastAsia"/>
                <w:bCs/>
                <w:color w:val="000000" w:themeColor="text1"/>
                <w:lang w:val="en-US"/>
              </w:rPr>
              <w:t>无最终</w:t>
            </w:r>
            <w:proofErr w:type="gramEnd"/>
            <w:r>
              <w:rPr>
                <w:rFonts w:ascii="宋体" w:hAnsi="宋体" w:cs="宋体" w:hint="eastAsia"/>
                <w:bCs/>
                <w:color w:val="000000" w:themeColor="text1"/>
                <w:lang w:val="en-US"/>
              </w:rPr>
              <w:t>控制人。</w:t>
            </w:r>
          </w:p>
        </w:tc>
      </w:tr>
      <w:tr w:rsidR="007A75FF" w:rsidRPr="006C3B37" w14:paraId="006E2A74" w14:textId="77777777">
        <w:trPr>
          <w:trHeight w:val="984"/>
        </w:trPr>
        <w:tc>
          <w:tcPr>
            <w:tcW w:w="1940" w:type="dxa"/>
            <w:vMerge/>
            <w:shd w:val="clear" w:color="auto" w:fill="D9D9D9"/>
            <w:vAlign w:val="center"/>
          </w:tcPr>
          <w:p w14:paraId="239D0C31" w14:textId="77777777" w:rsidR="007A75FF" w:rsidRPr="006C3B37" w:rsidRDefault="007A75FF">
            <w:pPr>
              <w:pStyle w:val="a0"/>
              <w:adjustRightInd w:val="0"/>
              <w:snapToGrid w:val="0"/>
              <w:spacing w:after="0"/>
              <w:rPr>
                <w:rFonts w:ascii="宋体" w:hAnsi="宋体" w:cs="宋体"/>
                <w:bCs/>
                <w:color w:val="000000" w:themeColor="text1"/>
                <w:lang w:val="en-US" w:eastAsia="zh-CN"/>
              </w:rPr>
            </w:pPr>
          </w:p>
        </w:tc>
        <w:tc>
          <w:tcPr>
            <w:tcW w:w="1607" w:type="dxa"/>
            <w:vAlign w:val="center"/>
          </w:tcPr>
          <w:p w14:paraId="5AE9858C" w14:textId="4C343201" w:rsidR="007A75FF" w:rsidRPr="006C3B37" w:rsidRDefault="007A75FF" w:rsidP="002D7DF4">
            <w:pPr>
              <w:pStyle w:val="a0"/>
              <w:adjustRightInd w:val="0"/>
              <w:snapToGrid w:val="0"/>
              <w:spacing w:after="0"/>
              <w:rPr>
                <w:rFonts w:ascii="宋体" w:hAnsi="宋体" w:cs="宋体"/>
                <w:bCs/>
                <w:color w:val="000000" w:themeColor="text1"/>
                <w:lang w:val="en-US" w:eastAsia="zh-CN"/>
              </w:rPr>
            </w:pPr>
            <w:r>
              <w:rPr>
                <w:rFonts w:ascii="宋体" w:hAnsi="宋体" w:cs="宋体" w:hint="eastAsia"/>
                <w:bCs/>
                <w:color w:val="000000" w:themeColor="text1"/>
                <w:lang w:val="en-US" w:eastAsia="zh-CN"/>
              </w:rPr>
              <w:t>3</w:t>
            </w:r>
            <w:r>
              <w:rPr>
                <w:rFonts w:ascii="宋体" w:hAnsi="宋体" w:cs="宋体"/>
                <w:bCs/>
                <w:color w:val="000000" w:themeColor="text1"/>
                <w:lang w:val="en-US" w:eastAsia="zh-CN"/>
              </w:rPr>
              <w:t>.</w:t>
            </w:r>
            <w:r>
              <w:rPr>
                <w:rFonts w:ascii="宋体" w:hAnsi="宋体" w:cs="宋体" w:hint="eastAsia"/>
                <w:bCs/>
                <w:color w:val="000000" w:themeColor="text1"/>
                <w:lang w:val="en-US" w:eastAsia="zh-CN"/>
              </w:rPr>
              <w:t>NTK海外业务</w:t>
            </w:r>
          </w:p>
        </w:tc>
        <w:tc>
          <w:tcPr>
            <w:tcW w:w="6093" w:type="dxa"/>
            <w:vAlign w:val="center"/>
          </w:tcPr>
          <w:p w14:paraId="1A88879C" w14:textId="0759EE16" w:rsidR="007A75FF" w:rsidRDefault="00287637">
            <w:pPr>
              <w:adjustRightInd w:val="0"/>
              <w:snapToGrid w:val="0"/>
              <w:spacing w:after="0"/>
              <w:rPr>
                <w:rFonts w:ascii="宋体" w:hAnsi="宋体" w:cs="宋体"/>
                <w:bCs/>
                <w:color w:val="000000" w:themeColor="text1"/>
                <w:lang w:val="en-US"/>
              </w:rPr>
            </w:pPr>
            <w:r w:rsidRPr="00287637">
              <w:rPr>
                <w:rFonts w:ascii="宋体" w:hAnsi="宋体" w:cs="宋体" w:hint="eastAsia"/>
                <w:bCs/>
                <w:color w:val="000000" w:themeColor="text1"/>
                <w:lang w:val="en-US"/>
              </w:rPr>
              <w:t>NTK海外业务包括日本特殊陶业及其关联实体在除日本和韩国以外的所有其他国家和地区</w:t>
            </w:r>
            <w:r w:rsidR="00D837AB">
              <w:rPr>
                <w:rFonts w:ascii="宋体" w:hAnsi="宋体" w:cs="宋体" w:hint="eastAsia"/>
                <w:bCs/>
                <w:color w:val="000000" w:themeColor="text1"/>
                <w:lang w:val="en-US"/>
              </w:rPr>
              <w:t>的</w:t>
            </w:r>
            <w:r w:rsidRPr="00287637">
              <w:rPr>
                <w:rFonts w:ascii="宋体" w:hAnsi="宋体" w:cs="宋体" w:hint="eastAsia"/>
                <w:bCs/>
                <w:color w:val="000000" w:themeColor="text1"/>
                <w:lang w:val="en-US"/>
              </w:rPr>
              <w:t>销售、运营、营销、进口和分销切削工具及其相关产品和服务的所有业务。</w:t>
            </w:r>
          </w:p>
          <w:p w14:paraId="4BB52C37" w14:textId="5D276D3B" w:rsidR="00287637" w:rsidRDefault="00287637" w:rsidP="00287637">
            <w:pPr>
              <w:adjustRightInd w:val="0"/>
              <w:snapToGrid w:val="0"/>
              <w:spacing w:after="0"/>
              <w:rPr>
                <w:rFonts w:ascii="宋体" w:hAnsi="宋体" w:cs="宋体"/>
                <w:bCs/>
                <w:color w:val="000000" w:themeColor="text1"/>
                <w:lang w:val="en-US"/>
              </w:rPr>
            </w:pPr>
            <w:r>
              <w:rPr>
                <w:rFonts w:ascii="宋体" w:hAnsi="宋体" w:cs="宋体" w:hint="eastAsia"/>
                <w:bCs/>
                <w:color w:val="000000" w:themeColor="text1"/>
                <w:lang w:val="en-US"/>
              </w:rPr>
              <w:t>NTK海外业务最终控制人为日本特殊陶业，主要业务为</w:t>
            </w:r>
            <w:r w:rsidRPr="00444AEA">
              <w:rPr>
                <w:rFonts w:ascii="宋体" w:hAnsi="宋体" w:cs="宋体" w:hint="eastAsia"/>
                <w:bCs/>
                <w:color w:val="000000" w:themeColor="text1"/>
                <w:lang w:val="en-US"/>
              </w:rPr>
              <w:t>生产和销售自动化产品、陶瓷产品以及与环境和能源领域新业务相关的产品</w:t>
            </w:r>
            <w:r>
              <w:rPr>
                <w:rFonts w:ascii="宋体" w:hAnsi="宋体" w:cs="宋体" w:hint="eastAsia"/>
                <w:bCs/>
                <w:color w:val="000000" w:themeColor="text1"/>
                <w:lang w:val="en-US"/>
              </w:rPr>
              <w:t>。</w:t>
            </w:r>
          </w:p>
        </w:tc>
      </w:tr>
      <w:tr w:rsidR="006C3B37" w:rsidRPr="006C3B37" w14:paraId="1D648C59" w14:textId="77777777">
        <w:trPr>
          <w:trHeight w:val="279"/>
        </w:trPr>
        <w:tc>
          <w:tcPr>
            <w:tcW w:w="1940" w:type="dxa"/>
            <w:vMerge w:val="restart"/>
            <w:shd w:val="clear" w:color="auto" w:fill="D9D9D9"/>
            <w:vAlign w:val="center"/>
          </w:tcPr>
          <w:p w14:paraId="0E4EDF9A" w14:textId="77777777" w:rsidR="00CF2E27" w:rsidRPr="006C3B37" w:rsidRDefault="00A35A6C">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t>简易案件理由（可以单选，也可以多选）</w:t>
            </w:r>
          </w:p>
        </w:tc>
        <w:tc>
          <w:tcPr>
            <w:tcW w:w="7700" w:type="dxa"/>
            <w:gridSpan w:val="2"/>
            <w:vAlign w:val="center"/>
          </w:tcPr>
          <w:p w14:paraId="02E4C4F5" w14:textId="77777777" w:rsidR="00CF2E27" w:rsidRPr="006C3B37" w:rsidRDefault="005108E5">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sym w:font="Wingdings" w:char="00FE"/>
            </w:r>
            <w:r w:rsidR="00A35A6C" w:rsidRPr="006C3B37">
              <w:rPr>
                <w:rFonts w:ascii="宋体" w:hAnsi="宋体" w:cs="宋体" w:hint="eastAsia"/>
                <w:bCs/>
                <w:color w:val="000000" w:themeColor="text1"/>
                <w:lang w:eastAsia="zh-CN"/>
              </w:rPr>
              <w:t xml:space="preserve"> 1、在同一相关市场，所有参与集中的经营者所占市场份额之和小于15%。</w:t>
            </w:r>
          </w:p>
        </w:tc>
      </w:tr>
      <w:tr w:rsidR="006C3B37" w:rsidRPr="006C3B37" w14:paraId="4DA4133B" w14:textId="77777777">
        <w:trPr>
          <w:trHeight w:val="330"/>
        </w:trPr>
        <w:tc>
          <w:tcPr>
            <w:tcW w:w="1940" w:type="dxa"/>
            <w:vMerge/>
            <w:shd w:val="clear" w:color="auto" w:fill="D9D9D9"/>
            <w:vAlign w:val="center"/>
          </w:tcPr>
          <w:p w14:paraId="356905A8" w14:textId="77777777" w:rsidR="00CF2E27" w:rsidRPr="006C3B37" w:rsidRDefault="00CF2E27">
            <w:pPr>
              <w:pStyle w:val="a0"/>
              <w:adjustRightInd w:val="0"/>
              <w:snapToGrid w:val="0"/>
              <w:spacing w:after="0"/>
              <w:rPr>
                <w:rFonts w:ascii="宋体" w:hAnsi="宋体" w:cs="宋体"/>
                <w:bCs/>
                <w:color w:val="000000" w:themeColor="text1"/>
                <w:lang w:val="en-US" w:eastAsia="zh-CN"/>
              </w:rPr>
            </w:pPr>
          </w:p>
        </w:tc>
        <w:tc>
          <w:tcPr>
            <w:tcW w:w="7700" w:type="dxa"/>
            <w:gridSpan w:val="2"/>
            <w:vAlign w:val="center"/>
          </w:tcPr>
          <w:p w14:paraId="190AC7EA" w14:textId="77777777" w:rsidR="00CF2E27" w:rsidRPr="006C3B37" w:rsidRDefault="002C39F0">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sym w:font="Wingdings" w:char="00A8"/>
            </w:r>
            <w:r w:rsidR="00A35A6C" w:rsidRPr="006C3B37">
              <w:rPr>
                <w:rFonts w:ascii="宋体" w:hAnsi="宋体" w:cs="宋体" w:hint="eastAsia"/>
                <w:bCs/>
                <w:color w:val="000000" w:themeColor="text1"/>
                <w:lang w:eastAsia="zh-CN"/>
              </w:rPr>
              <w:t xml:space="preserve"> 2、存在上下游关系的参与集中的经营者，在上下游市场所占的市场份额均小于25%。</w:t>
            </w:r>
          </w:p>
        </w:tc>
      </w:tr>
      <w:tr w:rsidR="006C3B37" w:rsidRPr="006C3B37" w14:paraId="3E961329" w14:textId="77777777">
        <w:trPr>
          <w:trHeight w:val="285"/>
        </w:trPr>
        <w:tc>
          <w:tcPr>
            <w:tcW w:w="1940" w:type="dxa"/>
            <w:vMerge/>
            <w:shd w:val="clear" w:color="auto" w:fill="D9D9D9"/>
            <w:vAlign w:val="center"/>
          </w:tcPr>
          <w:p w14:paraId="2A829341" w14:textId="77777777" w:rsidR="00CF2E27" w:rsidRPr="006C3B37" w:rsidRDefault="00CF2E27">
            <w:pPr>
              <w:pStyle w:val="a0"/>
              <w:adjustRightInd w:val="0"/>
              <w:snapToGrid w:val="0"/>
              <w:spacing w:after="0"/>
              <w:rPr>
                <w:rFonts w:ascii="宋体" w:hAnsi="宋体" w:cs="宋体"/>
                <w:bCs/>
                <w:color w:val="000000" w:themeColor="text1"/>
                <w:lang w:val="en-US" w:eastAsia="zh-CN"/>
              </w:rPr>
            </w:pPr>
          </w:p>
        </w:tc>
        <w:tc>
          <w:tcPr>
            <w:tcW w:w="7700" w:type="dxa"/>
            <w:gridSpan w:val="2"/>
            <w:vAlign w:val="center"/>
          </w:tcPr>
          <w:p w14:paraId="6E57EFC4" w14:textId="77777777" w:rsidR="00CF2E27" w:rsidRPr="006C3B37" w:rsidRDefault="005108E5">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sym w:font="Wingdings" w:char="00A8"/>
            </w:r>
            <w:r w:rsidR="00A35A6C" w:rsidRPr="006C3B37">
              <w:rPr>
                <w:rFonts w:ascii="宋体" w:hAnsi="宋体" w:cs="宋体" w:hint="eastAsia"/>
                <w:bCs/>
                <w:color w:val="000000" w:themeColor="text1"/>
                <w:lang w:eastAsia="zh-CN"/>
              </w:rPr>
              <w:t xml:space="preserve">  3、不在同一相关市场、也不存在上下游关系的参与集中的经营者，在与交易有关的每个市场所占的份额均小于25%。</w:t>
            </w:r>
          </w:p>
        </w:tc>
      </w:tr>
      <w:tr w:rsidR="006C3B37" w:rsidRPr="006C3B37" w14:paraId="4F73A6DC" w14:textId="77777777">
        <w:trPr>
          <w:trHeight w:val="870"/>
        </w:trPr>
        <w:tc>
          <w:tcPr>
            <w:tcW w:w="1940" w:type="dxa"/>
            <w:vMerge/>
            <w:shd w:val="clear" w:color="auto" w:fill="D9D9D9"/>
            <w:vAlign w:val="center"/>
          </w:tcPr>
          <w:p w14:paraId="1E69E789" w14:textId="77777777" w:rsidR="00CF2E27" w:rsidRPr="006C3B37" w:rsidRDefault="00CF2E27">
            <w:pPr>
              <w:pStyle w:val="a0"/>
              <w:adjustRightInd w:val="0"/>
              <w:snapToGrid w:val="0"/>
              <w:spacing w:after="0"/>
              <w:rPr>
                <w:rFonts w:ascii="宋体" w:hAnsi="宋体" w:cs="宋体"/>
                <w:bCs/>
                <w:color w:val="000000" w:themeColor="text1"/>
                <w:lang w:val="en-US" w:eastAsia="zh-CN"/>
              </w:rPr>
            </w:pPr>
          </w:p>
        </w:tc>
        <w:tc>
          <w:tcPr>
            <w:tcW w:w="7700" w:type="dxa"/>
            <w:gridSpan w:val="2"/>
            <w:vAlign w:val="center"/>
          </w:tcPr>
          <w:p w14:paraId="5FE42BDD" w14:textId="77777777" w:rsidR="00CF2E27" w:rsidRPr="006C3B37" w:rsidRDefault="00A35A6C">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sym w:font="Wingdings" w:char="00A8"/>
            </w:r>
            <w:r w:rsidRPr="006C3B37">
              <w:rPr>
                <w:rFonts w:ascii="宋体" w:hAnsi="宋体" w:cs="宋体" w:hint="eastAsia"/>
                <w:bCs/>
                <w:color w:val="000000" w:themeColor="text1"/>
                <w:lang w:eastAsia="zh-CN"/>
              </w:rPr>
              <w:t xml:space="preserve"> 4、参与集中的经营者在中国境外设立合营企业，合营企业不在中国境内从事经济活动。</w:t>
            </w:r>
          </w:p>
        </w:tc>
      </w:tr>
      <w:tr w:rsidR="006C3B37" w:rsidRPr="006C3B37" w14:paraId="7579F9CE" w14:textId="77777777">
        <w:trPr>
          <w:trHeight w:val="264"/>
        </w:trPr>
        <w:tc>
          <w:tcPr>
            <w:tcW w:w="1940" w:type="dxa"/>
            <w:vMerge/>
            <w:shd w:val="clear" w:color="auto" w:fill="D9D9D9"/>
            <w:vAlign w:val="center"/>
          </w:tcPr>
          <w:p w14:paraId="22D51D24" w14:textId="77777777" w:rsidR="00CF2E27" w:rsidRPr="006C3B37" w:rsidRDefault="00CF2E27">
            <w:pPr>
              <w:pStyle w:val="a0"/>
              <w:adjustRightInd w:val="0"/>
              <w:snapToGrid w:val="0"/>
              <w:spacing w:after="0"/>
              <w:rPr>
                <w:rFonts w:ascii="宋体" w:hAnsi="宋体" w:cs="宋体"/>
                <w:bCs/>
                <w:color w:val="000000" w:themeColor="text1"/>
                <w:lang w:val="en-US" w:eastAsia="zh-CN"/>
              </w:rPr>
            </w:pPr>
          </w:p>
        </w:tc>
        <w:tc>
          <w:tcPr>
            <w:tcW w:w="7700" w:type="dxa"/>
            <w:gridSpan w:val="2"/>
            <w:vAlign w:val="center"/>
          </w:tcPr>
          <w:p w14:paraId="64CBB209" w14:textId="77777777" w:rsidR="00CF2E27" w:rsidRPr="006C3B37" w:rsidRDefault="00A35A6C">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sym w:font="Wingdings" w:char="00A8"/>
            </w:r>
            <w:r w:rsidRPr="006C3B37">
              <w:rPr>
                <w:rFonts w:ascii="宋体" w:hAnsi="宋体" w:cs="宋体" w:hint="eastAsia"/>
                <w:bCs/>
                <w:color w:val="000000" w:themeColor="text1"/>
                <w:lang w:eastAsia="zh-CN"/>
              </w:rPr>
              <w:t xml:space="preserve"> 5、参与集中的经营者收购境外企业股权或资产的，该境外企业不在中国境内从事经济活动。</w:t>
            </w:r>
          </w:p>
        </w:tc>
      </w:tr>
      <w:tr w:rsidR="006C3B37" w:rsidRPr="006C3B37" w14:paraId="538F4AAD" w14:textId="77777777">
        <w:trPr>
          <w:trHeight w:val="345"/>
        </w:trPr>
        <w:tc>
          <w:tcPr>
            <w:tcW w:w="1940" w:type="dxa"/>
            <w:vMerge/>
            <w:shd w:val="clear" w:color="auto" w:fill="D9D9D9"/>
            <w:vAlign w:val="center"/>
          </w:tcPr>
          <w:p w14:paraId="63713B4F" w14:textId="77777777" w:rsidR="00CF2E27" w:rsidRPr="006C3B37" w:rsidRDefault="00CF2E27">
            <w:pPr>
              <w:pStyle w:val="a0"/>
              <w:adjustRightInd w:val="0"/>
              <w:snapToGrid w:val="0"/>
              <w:spacing w:after="0"/>
              <w:rPr>
                <w:rFonts w:ascii="宋体" w:hAnsi="宋体" w:cs="宋体"/>
                <w:bCs/>
                <w:color w:val="000000" w:themeColor="text1"/>
                <w:lang w:val="en-US" w:eastAsia="zh-CN"/>
              </w:rPr>
            </w:pPr>
          </w:p>
        </w:tc>
        <w:tc>
          <w:tcPr>
            <w:tcW w:w="7700" w:type="dxa"/>
            <w:gridSpan w:val="2"/>
            <w:vAlign w:val="center"/>
          </w:tcPr>
          <w:p w14:paraId="09FD4010" w14:textId="77777777" w:rsidR="00CF2E27" w:rsidRPr="006C3B37" w:rsidRDefault="00A35A6C">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eastAsia="zh-CN"/>
              </w:rPr>
              <w:sym w:font="Wingdings" w:char="00A8"/>
            </w:r>
            <w:r w:rsidRPr="006C3B37">
              <w:rPr>
                <w:rFonts w:ascii="宋体" w:hAnsi="宋体" w:cs="宋体" w:hint="eastAsia"/>
                <w:bCs/>
                <w:color w:val="000000" w:themeColor="text1"/>
                <w:lang w:eastAsia="zh-CN"/>
              </w:rPr>
              <w:t xml:space="preserve"> 6、由两个以上的经营者共同控制的合营企业，通过集中被其中一个或一个以上经营者控制。</w:t>
            </w:r>
          </w:p>
        </w:tc>
      </w:tr>
      <w:tr w:rsidR="006C3B37" w:rsidRPr="006C3B37" w14:paraId="530AFFC2" w14:textId="77777777">
        <w:trPr>
          <w:trHeight w:val="1250"/>
        </w:trPr>
        <w:tc>
          <w:tcPr>
            <w:tcW w:w="1940" w:type="dxa"/>
            <w:shd w:val="clear" w:color="auto" w:fill="D9D9D9"/>
            <w:vAlign w:val="center"/>
          </w:tcPr>
          <w:p w14:paraId="3B30B6C6" w14:textId="77777777" w:rsidR="00CF2E27" w:rsidRPr="006C3B37" w:rsidRDefault="00A35A6C">
            <w:pPr>
              <w:pStyle w:val="a0"/>
              <w:adjustRightInd w:val="0"/>
              <w:snapToGrid w:val="0"/>
              <w:spacing w:after="0"/>
              <w:rPr>
                <w:rFonts w:ascii="宋体" w:hAnsi="宋体" w:cs="宋体"/>
                <w:bCs/>
                <w:color w:val="000000" w:themeColor="text1"/>
                <w:lang w:val="en-US" w:eastAsia="zh-CN"/>
              </w:rPr>
            </w:pPr>
            <w:r w:rsidRPr="006C3B37">
              <w:rPr>
                <w:rFonts w:ascii="宋体" w:hAnsi="宋体" w:cs="宋体" w:hint="eastAsia"/>
                <w:bCs/>
                <w:color w:val="000000" w:themeColor="text1"/>
                <w:lang w:val="en-US" w:eastAsia="zh-CN"/>
              </w:rPr>
              <w:t>备注</w:t>
            </w:r>
          </w:p>
        </w:tc>
        <w:tc>
          <w:tcPr>
            <w:tcW w:w="7700" w:type="dxa"/>
            <w:gridSpan w:val="2"/>
            <w:vAlign w:val="center"/>
          </w:tcPr>
          <w:p w14:paraId="56E0A14C" w14:textId="77777777" w:rsidR="00CF2E27" w:rsidRPr="006C3B37" w:rsidRDefault="00277368">
            <w:pPr>
              <w:pStyle w:val="a0"/>
              <w:adjustRightInd w:val="0"/>
              <w:snapToGrid w:val="0"/>
              <w:spacing w:after="0"/>
              <w:rPr>
                <w:rFonts w:ascii="宋体" w:hAnsi="宋体" w:cs="宋体"/>
                <w:b/>
                <w:color w:val="000000" w:themeColor="text1"/>
                <w:lang w:eastAsia="zh-CN"/>
              </w:rPr>
            </w:pPr>
            <w:r>
              <w:rPr>
                <w:rFonts w:ascii="宋体" w:hAnsi="宋体" w:cs="宋体" w:hint="eastAsia"/>
                <w:b/>
                <w:color w:val="000000" w:themeColor="text1"/>
                <w:lang w:eastAsia="zh-CN"/>
              </w:rPr>
              <w:t>横向重叠</w:t>
            </w:r>
            <w:r w:rsidR="00A35A6C" w:rsidRPr="006C3B37">
              <w:rPr>
                <w:rFonts w:ascii="宋体" w:hAnsi="宋体" w:cs="宋体" w:hint="eastAsia"/>
                <w:b/>
                <w:color w:val="000000" w:themeColor="text1"/>
                <w:lang w:eastAsia="zh-CN"/>
              </w:rPr>
              <w:t>：</w:t>
            </w:r>
          </w:p>
          <w:p w14:paraId="0298B283" w14:textId="77777777" w:rsidR="00AC3F97" w:rsidRDefault="00AC3F97">
            <w:pPr>
              <w:pStyle w:val="a0"/>
              <w:adjustRightInd w:val="0"/>
              <w:snapToGrid w:val="0"/>
              <w:spacing w:after="0"/>
              <w:rPr>
                <w:rFonts w:ascii="宋体" w:hAnsi="宋体" w:cs="宋体"/>
                <w:bCs/>
                <w:color w:val="000000" w:themeColor="text1"/>
                <w:lang w:val="en-US" w:eastAsia="zh-CN"/>
              </w:rPr>
            </w:pPr>
            <w:r>
              <w:rPr>
                <w:rFonts w:ascii="宋体" w:hAnsi="宋体" w:cs="宋体" w:hint="eastAsia"/>
                <w:bCs/>
                <w:color w:val="000000" w:themeColor="text1"/>
                <w:lang w:val="en-US" w:eastAsia="zh-CN"/>
              </w:rPr>
              <w:t>2</w:t>
            </w:r>
            <w:r>
              <w:rPr>
                <w:rFonts w:ascii="宋体" w:hAnsi="宋体" w:cs="宋体"/>
                <w:bCs/>
                <w:color w:val="000000" w:themeColor="text1"/>
                <w:lang w:val="en-US" w:eastAsia="zh-CN"/>
              </w:rPr>
              <w:t>021</w:t>
            </w:r>
            <w:r>
              <w:rPr>
                <w:rFonts w:ascii="宋体" w:hAnsi="宋体" w:cs="宋体" w:hint="eastAsia"/>
                <w:bCs/>
                <w:color w:val="000000" w:themeColor="text1"/>
                <w:lang w:val="en-US" w:eastAsia="zh-CN"/>
              </w:rPr>
              <w:t>年</w:t>
            </w:r>
            <w:r w:rsidR="00D7727C">
              <w:rPr>
                <w:rFonts w:ascii="宋体" w:hAnsi="宋体" w:cs="宋体" w:hint="eastAsia"/>
                <w:bCs/>
                <w:color w:val="000000" w:themeColor="text1"/>
                <w:lang w:val="en-US" w:eastAsia="zh-CN"/>
              </w:rPr>
              <w:t>中国境内金属切削机床用切削工具</w:t>
            </w:r>
            <w:r>
              <w:rPr>
                <w:rFonts w:ascii="宋体" w:hAnsi="宋体" w:cs="宋体" w:hint="eastAsia"/>
                <w:bCs/>
                <w:color w:val="000000" w:themeColor="text1"/>
                <w:lang w:val="en-US" w:eastAsia="zh-CN"/>
              </w:rPr>
              <w:t>市场：</w:t>
            </w:r>
          </w:p>
          <w:p w14:paraId="3704ED29" w14:textId="78E96621" w:rsidR="00CF2E27" w:rsidRPr="006841BE" w:rsidRDefault="000817D7" w:rsidP="001058F9">
            <w:pPr>
              <w:pStyle w:val="a0"/>
              <w:adjustRightInd w:val="0"/>
              <w:snapToGrid w:val="0"/>
              <w:spacing w:after="0"/>
              <w:rPr>
                <w:rFonts w:ascii="宋体" w:hAnsi="宋体" w:cs="宋体"/>
                <w:bCs/>
                <w:color w:val="000000" w:themeColor="text1"/>
                <w:lang w:val="en-US" w:eastAsia="zh-CN"/>
              </w:rPr>
            </w:pPr>
            <w:r>
              <w:rPr>
                <w:rFonts w:ascii="宋体" w:hAnsi="宋体" w:cs="宋体" w:hint="eastAsia"/>
                <w:bCs/>
                <w:color w:val="000000" w:themeColor="text1"/>
                <w:lang w:val="en-US" w:eastAsia="zh-CN"/>
              </w:rPr>
              <w:t>IMC</w:t>
            </w:r>
            <w:r w:rsidR="000B063D">
              <w:rPr>
                <w:rFonts w:ascii="宋体" w:hAnsi="宋体" w:cs="宋体" w:hint="eastAsia"/>
                <w:bCs/>
                <w:color w:val="000000" w:themeColor="text1"/>
                <w:lang w:val="en-US" w:eastAsia="zh-CN"/>
              </w:rPr>
              <w:t>：</w:t>
            </w:r>
            <w:r w:rsidR="00BA7C12">
              <w:rPr>
                <w:rFonts w:ascii="宋体" w:hAnsi="宋体" w:cs="宋体"/>
                <w:bCs/>
                <w:color w:val="000000" w:themeColor="text1"/>
                <w:lang w:val="en-US" w:eastAsia="zh-CN"/>
              </w:rPr>
              <w:t>5</w:t>
            </w:r>
            <w:r w:rsidR="00BA7C12">
              <w:rPr>
                <w:rFonts w:ascii="宋体" w:hAnsi="宋体" w:cs="宋体" w:hint="eastAsia"/>
                <w:bCs/>
                <w:color w:val="000000" w:themeColor="text1"/>
                <w:lang w:val="en-US" w:eastAsia="zh-CN"/>
              </w:rPr>
              <w:t>-</w:t>
            </w:r>
            <w:r w:rsidR="00BA7C12">
              <w:rPr>
                <w:rFonts w:ascii="宋体" w:hAnsi="宋体" w:cs="宋体"/>
                <w:bCs/>
                <w:color w:val="000000" w:themeColor="text1"/>
                <w:lang w:val="en-US" w:eastAsia="zh-CN"/>
              </w:rPr>
              <w:t>10</w:t>
            </w:r>
            <w:r w:rsidR="00A35A6C" w:rsidRPr="006C3B37">
              <w:rPr>
                <w:rFonts w:ascii="宋体" w:hAnsi="宋体" w:cs="宋体" w:hint="eastAsia"/>
                <w:bCs/>
                <w:color w:val="000000" w:themeColor="text1"/>
                <w:lang w:val="en-US" w:eastAsia="zh-CN"/>
              </w:rPr>
              <w:t>%</w:t>
            </w:r>
            <w:r w:rsidR="000B063D">
              <w:rPr>
                <w:rFonts w:ascii="宋体" w:hAnsi="宋体" w:cs="宋体" w:hint="eastAsia"/>
                <w:bCs/>
                <w:color w:val="000000" w:themeColor="text1"/>
                <w:lang w:val="en-US" w:eastAsia="zh-CN"/>
              </w:rPr>
              <w:t>，</w:t>
            </w:r>
            <w:r>
              <w:rPr>
                <w:rFonts w:ascii="宋体" w:hAnsi="宋体" w:cs="宋体" w:hint="eastAsia"/>
                <w:bCs/>
                <w:color w:val="000000" w:themeColor="text1"/>
                <w:lang w:val="en-US" w:eastAsia="zh-CN"/>
              </w:rPr>
              <w:t>日本特殊陶业</w:t>
            </w:r>
            <w:r w:rsidR="007A75FF">
              <w:rPr>
                <w:rFonts w:ascii="宋体" w:hAnsi="宋体" w:cs="宋体" w:hint="eastAsia"/>
                <w:bCs/>
                <w:color w:val="000000" w:themeColor="text1"/>
                <w:lang w:val="en-US" w:eastAsia="zh-CN"/>
              </w:rPr>
              <w:t>（</w:t>
            </w:r>
            <w:bookmarkStart w:id="0" w:name="_GoBack"/>
            <w:bookmarkEnd w:id="0"/>
            <w:r w:rsidR="007A75FF">
              <w:rPr>
                <w:rFonts w:ascii="宋体" w:hAnsi="宋体" w:cs="宋体" w:hint="eastAsia"/>
                <w:bCs/>
                <w:color w:val="000000" w:themeColor="text1"/>
                <w:lang w:val="en-US" w:eastAsia="zh-CN"/>
              </w:rPr>
              <w:t>目标业务）</w:t>
            </w:r>
            <w:r>
              <w:rPr>
                <w:rFonts w:ascii="宋体" w:hAnsi="宋体" w:cs="宋体" w:hint="eastAsia"/>
                <w:bCs/>
                <w:color w:val="000000" w:themeColor="text1"/>
                <w:lang w:val="en-US" w:eastAsia="zh-CN"/>
              </w:rPr>
              <w:t>：</w:t>
            </w:r>
            <w:r w:rsidR="00BA7C12" w:rsidRPr="006C3B37">
              <w:rPr>
                <w:rFonts w:ascii="宋体" w:hAnsi="宋体" w:cs="宋体" w:hint="eastAsia"/>
                <w:bCs/>
                <w:color w:val="000000" w:themeColor="text1"/>
                <w:lang w:val="en-US" w:eastAsia="zh-CN"/>
              </w:rPr>
              <w:t>0-5%</w:t>
            </w:r>
            <w:r w:rsidR="000B063D">
              <w:rPr>
                <w:rFonts w:ascii="宋体" w:hAnsi="宋体" w:cs="宋体" w:hint="eastAsia"/>
                <w:bCs/>
                <w:color w:val="000000" w:themeColor="text1"/>
                <w:lang w:val="en-US" w:eastAsia="zh-CN"/>
              </w:rPr>
              <w:t>，</w:t>
            </w:r>
            <w:r w:rsidR="000B063D" w:rsidRPr="000B063D">
              <w:rPr>
                <w:rFonts w:ascii="宋体" w:hAnsi="宋体" w:cs="宋体" w:hint="eastAsia"/>
                <w:bCs/>
                <w:color w:val="000000" w:themeColor="text1"/>
                <w:lang w:val="en-US" w:eastAsia="zh-CN"/>
              </w:rPr>
              <w:t>各方合计</w:t>
            </w:r>
            <w:r w:rsidR="00BA7C12">
              <w:rPr>
                <w:rFonts w:ascii="宋体" w:hAnsi="宋体" w:cs="宋体" w:hint="eastAsia"/>
                <w:bCs/>
                <w:color w:val="000000" w:themeColor="text1"/>
                <w:lang w:val="en-US" w:eastAsia="zh-CN"/>
              </w:rPr>
              <w:t>：5-</w:t>
            </w:r>
            <w:r w:rsidR="00BA7C12">
              <w:rPr>
                <w:rFonts w:ascii="宋体" w:hAnsi="宋体" w:cs="宋体"/>
                <w:bCs/>
                <w:color w:val="000000" w:themeColor="text1"/>
                <w:lang w:val="en-US" w:eastAsia="zh-CN"/>
              </w:rPr>
              <w:t>10</w:t>
            </w:r>
            <w:r w:rsidR="00BA7C12">
              <w:rPr>
                <w:rFonts w:ascii="宋体" w:hAnsi="宋体" w:cs="宋体" w:hint="eastAsia"/>
                <w:bCs/>
                <w:color w:val="000000" w:themeColor="text1"/>
                <w:lang w:val="en-US" w:eastAsia="zh-CN"/>
              </w:rPr>
              <w:t>%</w:t>
            </w:r>
          </w:p>
        </w:tc>
      </w:tr>
    </w:tbl>
    <w:p w14:paraId="6802995B" w14:textId="77777777" w:rsidR="00A35A6C" w:rsidRPr="006C3B37" w:rsidRDefault="00A35A6C">
      <w:pPr>
        <w:pStyle w:val="a0"/>
        <w:adjustRightInd w:val="0"/>
        <w:snapToGrid w:val="0"/>
        <w:spacing w:after="0"/>
        <w:rPr>
          <w:rFonts w:ascii="Arial" w:eastAsia="楷体_GB2312" w:hAnsi="Arial" w:cs="Arial"/>
          <w:b/>
          <w:color w:val="000000" w:themeColor="text1"/>
          <w:sz w:val="22"/>
          <w:szCs w:val="22"/>
          <w:lang w:eastAsia="zh-CN"/>
        </w:rPr>
      </w:pPr>
    </w:p>
    <w:sectPr w:rsidR="00A35A6C" w:rsidRPr="006C3B37">
      <w:footerReference w:type="default" r:id="rId7"/>
      <w:pgSz w:w="11906" w:h="16838"/>
      <w:pgMar w:top="1440"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F69E53" w14:textId="77777777" w:rsidR="008F35FE" w:rsidRDefault="008F35FE">
      <w:pPr>
        <w:spacing w:after="0"/>
      </w:pPr>
      <w:r>
        <w:separator/>
      </w:r>
    </w:p>
  </w:endnote>
  <w:endnote w:type="continuationSeparator" w:id="0">
    <w:p w14:paraId="4EA52539" w14:textId="77777777" w:rsidR="008F35FE" w:rsidRDefault="008F35F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plified Arabic">
    <w:altName w:val="Times New Roman"/>
    <w:charset w:val="00"/>
    <w:family w:val="roman"/>
    <w:pitch w:val="default"/>
    <w:sig w:usb0="00002003" w:usb1="00000000" w:usb2="00000000" w:usb3="00000000" w:csb0="00000041" w:csb1="2008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000" w:firstRow="0" w:lastRow="0" w:firstColumn="0" w:lastColumn="0" w:noHBand="0" w:noVBand="0"/>
    </w:tblPr>
    <w:tblGrid>
      <w:gridCol w:w="3007"/>
      <w:gridCol w:w="3011"/>
      <w:gridCol w:w="3008"/>
    </w:tblGrid>
    <w:tr w:rsidR="00CF2E27" w14:paraId="23AA00D1" w14:textId="77777777">
      <w:tc>
        <w:tcPr>
          <w:tcW w:w="3080" w:type="dxa"/>
        </w:tcPr>
        <w:p w14:paraId="20AFB20D" w14:textId="77777777" w:rsidR="00CF2E27" w:rsidRDefault="00CF2E27">
          <w:pPr>
            <w:pStyle w:val="aff4"/>
          </w:pPr>
        </w:p>
      </w:tc>
      <w:tc>
        <w:tcPr>
          <w:tcW w:w="3081" w:type="dxa"/>
        </w:tcPr>
        <w:p w14:paraId="0F4E5EAA" w14:textId="3AA27061" w:rsidR="00CF2E27" w:rsidRDefault="00A35A6C">
          <w:pPr>
            <w:pStyle w:val="aff4"/>
            <w:jc w:val="center"/>
            <w:rPr>
              <w:rStyle w:val="affff2"/>
              <w:rFonts w:cs="Times New Roman"/>
            </w:rPr>
          </w:pPr>
          <w:r>
            <w:rPr>
              <w:rStyle w:val="affff2"/>
              <w:rFonts w:cs="Times New Roman"/>
            </w:rPr>
            <w:t xml:space="preserve">- </w:t>
          </w:r>
          <w:r>
            <w:rPr>
              <w:rStyle w:val="affff2"/>
              <w:rFonts w:cs="Times New Roman"/>
            </w:rPr>
            <w:fldChar w:fldCharType="begin"/>
          </w:r>
          <w:r>
            <w:rPr>
              <w:rStyle w:val="affff2"/>
              <w:rFonts w:cs="Times New Roman"/>
            </w:rPr>
            <w:instrText xml:space="preserve"> PAGE   \* MERGEFORMAT </w:instrText>
          </w:r>
          <w:r>
            <w:rPr>
              <w:rStyle w:val="affff2"/>
              <w:rFonts w:cs="Times New Roman"/>
            </w:rPr>
            <w:fldChar w:fldCharType="separate"/>
          </w:r>
          <w:r w:rsidR="00F048B7" w:rsidRPr="00F048B7">
            <w:rPr>
              <w:rStyle w:val="affff2"/>
              <w:rFonts w:cs="Times New Roman"/>
              <w:noProof/>
              <w:lang w:val="en-US"/>
            </w:rPr>
            <w:t>2</w:t>
          </w:r>
          <w:r>
            <w:rPr>
              <w:rStyle w:val="affff2"/>
              <w:rFonts w:cs="Times New Roman"/>
            </w:rPr>
            <w:fldChar w:fldCharType="end"/>
          </w:r>
          <w:r>
            <w:rPr>
              <w:rStyle w:val="affff2"/>
              <w:rFonts w:cs="Times New Roman"/>
            </w:rPr>
            <w:t xml:space="preserve"> -</w:t>
          </w:r>
        </w:p>
      </w:tc>
      <w:tc>
        <w:tcPr>
          <w:tcW w:w="3081" w:type="dxa"/>
        </w:tcPr>
        <w:p w14:paraId="4C924D3D" w14:textId="77777777" w:rsidR="00CF2E27" w:rsidRDefault="00CF2E27">
          <w:pPr>
            <w:pStyle w:val="FooterRight"/>
          </w:pPr>
        </w:p>
      </w:tc>
    </w:tr>
  </w:tbl>
  <w:p w14:paraId="4BEE1BBB" w14:textId="77777777" w:rsidR="00CF2E27" w:rsidRDefault="00CF2E27">
    <w:pPr>
      <w:pStyle w:val="aff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3B747B" w14:textId="77777777" w:rsidR="008F35FE" w:rsidRDefault="008F35FE">
      <w:pPr>
        <w:spacing w:after="0"/>
      </w:pPr>
      <w:r>
        <w:separator/>
      </w:r>
    </w:p>
  </w:footnote>
  <w:footnote w:type="continuationSeparator" w:id="0">
    <w:p w14:paraId="41A3D15F" w14:textId="77777777" w:rsidR="008F35FE" w:rsidRDefault="008F35F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195CAD"/>
    <w:multiLevelType w:val="multilevel"/>
    <w:tmpl w:val="25195CAD"/>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1" w15:restartNumberingAfterBreak="0">
    <w:nsid w:val="4F0244F7"/>
    <w:multiLevelType w:val="multilevel"/>
    <w:tmpl w:val="4F0244F7"/>
    <w:lvl w:ilvl="0">
      <w:start w:val="1"/>
      <w:numFmt w:val="decimal"/>
      <w:pStyle w:val="NormalLeft"/>
      <w:lvlText w:val="%1)"/>
      <w:lvlJc w:val="left"/>
      <w:pPr>
        <w:ind w:left="644" w:hanging="360"/>
      </w:pPr>
      <w:rPr>
        <w:color w:val="auto"/>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6B4F0377"/>
    <w:multiLevelType w:val="multilevel"/>
    <w:tmpl w:val="6B4F0377"/>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trackRevisions/>
  <w:styleLockQFSet/>
  <w:defaultTabStop w:val="720"/>
  <w:drawingGridHorizontalSpacing w:val="12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EC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 w:val="000012EC"/>
    <w:rsid w:val="000024FF"/>
    <w:rsid w:val="000027BD"/>
    <w:rsid w:val="000125FC"/>
    <w:rsid w:val="000150B7"/>
    <w:rsid w:val="000160F6"/>
    <w:rsid w:val="00021AB2"/>
    <w:rsid w:val="000326C8"/>
    <w:rsid w:val="00041C40"/>
    <w:rsid w:val="0004292A"/>
    <w:rsid w:val="000467AA"/>
    <w:rsid w:val="00062616"/>
    <w:rsid w:val="00073E6B"/>
    <w:rsid w:val="0007723F"/>
    <w:rsid w:val="00077D60"/>
    <w:rsid w:val="000817D7"/>
    <w:rsid w:val="00082D80"/>
    <w:rsid w:val="00083590"/>
    <w:rsid w:val="00092F4E"/>
    <w:rsid w:val="000A6259"/>
    <w:rsid w:val="000A72A1"/>
    <w:rsid w:val="000B063D"/>
    <w:rsid w:val="000B58E5"/>
    <w:rsid w:val="000B653C"/>
    <w:rsid w:val="000C0C5A"/>
    <w:rsid w:val="000C6953"/>
    <w:rsid w:val="000E29A9"/>
    <w:rsid w:val="000E3A81"/>
    <w:rsid w:val="000F3DA3"/>
    <w:rsid w:val="001058B2"/>
    <w:rsid w:val="001058F9"/>
    <w:rsid w:val="00106A6A"/>
    <w:rsid w:val="00107E19"/>
    <w:rsid w:val="00115F62"/>
    <w:rsid w:val="00123E26"/>
    <w:rsid w:val="00134579"/>
    <w:rsid w:val="00145B05"/>
    <w:rsid w:val="00156851"/>
    <w:rsid w:val="001639D8"/>
    <w:rsid w:val="00183904"/>
    <w:rsid w:val="00186A05"/>
    <w:rsid w:val="001965E2"/>
    <w:rsid w:val="001B4EA1"/>
    <w:rsid w:val="001C5840"/>
    <w:rsid w:val="001D1555"/>
    <w:rsid w:val="001D6168"/>
    <w:rsid w:val="001D67FB"/>
    <w:rsid w:val="001E0F1F"/>
    <w:rsid w:val="001F09D2"/>
    <w:rsid w:val="001F346E"/>
    <w:rsid w:val="001F35AA"/>
    <w:rsid w:val="001F367B"/>
    <w:rsid w:val="00224A7C"/>
    <w:rsid w:val="002278D1"/>
    <w:rsid w:val="00231665"/>
    <w:rsid w:val="00233737"/>
    <w:rsid w:val="002403B5"/>
    <w:rsid w:val="00245281"/>
    <w:rsid w:val="00250E61"/>
    <w:rsid w:val="00261F94"/>
    <w:rsid w:val="00267941"/>
    <w:rsid w:val="00270B2E"/>
    <w:rsid w:val="00277368"/>
    <w:rsid w:val="00287637"/>
    <w:rsid w:val="00287E91"/>
    <w:rsid w:val="00291652"/>
    <w:rsid w:val="002955DE"/>
    <w:rsid w:val="002964A1"/>
    <w:rsid w:val="002A1857"/>
    <w:rsid w:val="002A25F2"/>
    <w:rsid w:val="002A7C26"/>
    <w:rsid w:val="002C39F0"/>
    <w:rsid w:val="002D7DF4"/>
    <w:rsid w:val="002F09A7"/>
    <w:rsid w:val="002F5271"/>
    <w:rsid w:val="00306B88"/>
    <w:rsid w:val="00310488"/>
    <w:rsid w:val="00311263"/>
    <w:rsid w:val="00336A25"/>
    <w:rsid w:val="0034107F"/>
    <w:rsid w:val="00344D27"/>
    <w:rsid w:val="00352580"/>
    <w:rsid w:val="003536E4"/>
    <w:rsid w:val="0035604C"/>
    <w:rsid w:val="003627C4"/>
    <w:rsid w:val="00364554"/>
    <w:rsid w:val="00371332"/>
    <w:rsid w:val="003850D4"/>
    <w:rsid w:val="00385F00"/>
    <w:rsid w:val="003866EF"/>
    <w:rsid w:val="00393D14"/>
    <w:rsid w:val="003A4565"/>
    <w:rsid w:val="003B0E8E"/>
    <w:rsid w:val="003B27EC"/>
    <w:rsid w:val="003B2F86"/>
    <w:rsid w:val="003B4439"/>
    <w:rsid w:val="003B4C9E"/>
    <w:rsid w:val="003B7CBC"/>
    <w:rsid w:val="003C3456"/>
    <w:rsid w:val="003E3B57"/>
    <w:rsid w:val="003E73DB"/>
    <w:rsid w:val="003F7C17"/>
    <w:rsid w:val="00410914"/>
    <w:rsid w:val="004119F5"/>
    <w:rsid w:val="004166B2"/>
    <w:rsid w:val="004203EF"/>
    <w:rsid w:val="00423C37"/>
    <w:rsid w:val="00427E52"/>
    <w:rsid w:val="00444AEA"/>
    <w:rsid w:val="00446353"/>
    <w:rsid w:val="0044739B"/>
    <w:rsid w:val="00467A6B"/>
    <w:rsid w:val="004733AB"/>
    <w:rsid w:val="0049707A"/>
    <w:rsid w:val="004973DB"/>
    <w:rsid w:val="0049771A"/>
    <w:rsid w:val="004A4BF1"/>
    <w:rsid w:val="004C3420"/>
    <w:rsid w:val="004D018B"/>
    <w:rsid w:val="004D124C"/>
    <w:rsid w:val="004D4435"/>
    <w:rsid w:val="005108E5"/>
    <w:rsid w:val="00512A53"/>
    <w:rsid w:val="005163C2"/>
    <w:rsid w:val="00523905"/>
    <w:rsid w:val="005251B9"/>
    <w:rsid w:val="00530BB4"/>
    <w:rsid w:val="00545A47"/>
    <w:rsid w:val="00547851"/>
    <w:rsid w:val="0057200D"/>
    <w:rsid w:val="00591CEC"/>
    <w:rsid w:val="005B0CEB"/>
    <w:rsid w:val="005B18A3"/>
    <w:rsid w:val="005B74F0"/>
    <w:rsid w:val="005C0E70"/>
    <w:rsid w:val="005D277C"/>
    <w:rsid w:val="005D6344"/>
    <w:rsid w:val="005D6D17"/>
    <w:rsid w:val="005E7B2F"/>
    <w:rsid w:val="005F2EE5"/>
    <w:rsid w:val="005F5280"/>
    <w:rsid w:val="005F7223"/>
    <w:rsid w:val="0060413B"/>
    <w:rsid w:val="00605EE6"/>
    <w:rsid w:val="0060669E"/>
    <w:rsid w:val="00613C3C"/>
    <w:rsid w:val="00614EBB"/>
    <w:rsid w:val="0061583E"/>
    <w:rsid w:val="00617BCA"/>
    <w:rsid w:val="00632159"/>
    <w:rsid w:val="0063623C"/>
    <w:rsid w:val="00645B6A"/>
    <w:rsid w:val="00655225"/>
    <w:rsid w:val="00664174"/>
    <w:rsid w:val="006643EA"/>
    <w:rsid w:val="0066645C"/>
    <w:rsid w:val="0067348D"/>
    <w:rsid w:val="006745A9"/>
    <w:rsid w:val="00682729"/>
    <w:rsid w:val="006841BE"/>
    <w:rsid w:val="00695202"/>
    <w:rsid w:val="006B4541"/>
    <w:rsid w:val="006C3B37"/>
    <w:rsid w:val="006D1E2B"/>
    <w:rsid w:val="006E0D98"/>
    <w:rsid w:val="006E3180"/>
    <w:rsid w:val="006E6E26"/>
    <w:rsid w:val="006E70AA"/>
    <w:rsid w:val="006F3CBD"/>
    <w:rsid w:val="006F7A98"/>
    <w:rsid w:val="007029CB"/>
    <w:rsid w:val="00705778"/>
    <w:rsid w:val="0071373B"/>
    <w:rsid w:val="00720F7B"/>
    <w:rsid w:val="00726B19"/>
    <w:rsid w:val="00727BD0"/>
    <w:rsid w:val="007373F0"/>
    <w:rsid w:val="00742AFE"/>
    <w:rsid w:val="00742EDF"/>
    <w:rsid w:val="00751420"/>
    <w:rsid w:val="007674D7"/>
    <w:rsid w:val="00772298"/>
    <w:rsid w:val="00793D43"/>
    <w:rsid w:val="00794062"/>
    <w:rsid w:val="00797584"/>
    <w:rsid w:val="007A2D94"/>
    <w:rsid w:val="007A75FF"/>
    <w:rsid w:val="007B651A"/>
    <w:rsid w:val="007B6ED8"/>
    <w:rsid w:val="007B75E4"/>
    <w:rsid w:val="007C6C43"/>
    <w:rsid w:val="007E2608"/>
    <w:rsid w:val="007F1726"/>
    <w:rsid w:val="0080200E"/>
    <w:rsid w:val="00803A33"/>
    <w:rsid w:val="008051ED"/>
    <w:rsid w:val="00811775"/>
    <w:rsid w:val="008248B2"/>
    <w:rsid w:val="00834D88"/>
    <w:rsid w:val="00861224"/>
    <w:rsid w:val="00864085"/>
    <w:rsid w:val="008803D0"/>
    <w:rsid w:val="00880F24"/>
    <w:rsid w:val="008836AF"/>
    <w:rsid w:val="00885C9B"/>
    <w:rsid w:val="00893879"/>
    <w:rsid w:val="008A2F56"/>
    <w:rsid w:val="008B2172"/>
    <w:rsid w:val="008B29DD"/>
    <w:rsid w:val="008D4ED8"/>
    <w:rsid w:val="008D5354"/>
    <w:rsid w:val="008D644E"/>
    <w:rsid w:val="008E5BCA"/>
    <w:rsid w:val="008E716D"/>
    <w:rsid w:val="008F35FE"/>
    <w:rsid w:val="009022B0"/>
    <w:rsid w:val="00905F4A"/>
    <w:rsid w:val="009145E4"/>
    <w:rsid w:val="009301D9"/>
    <w:rsid w:val="00934816"/>
    <w:rsid w:val="0094346F"/>
    <w:rsid w:val="00953187"/>
    <w:rsid w:val="009551E9"/>
    <w:rsid w:val="0096333E"/>
    <w:rsid w:val="009668EC"/>
    <w:rsid w:val="00977C3B"/>
    <w:rsid w:val="00983A92"/>
    <w:rsid w:val="009901B5"/>
    <w:rsid w:val="009A0BCC"/>
    <w:rsid w:val="009A2EFA"/>
    <w:rsid w:val="009A57C5"/>
    <w:rsid w:val="009A6CD4"/>
    <w:rsid w:val="009A6E66"/>
    <w:rsid w:val="009B0211"/>
    <w:rsid w:val="009C01A5"/>
    <w:rsid w:val="009C16F8"/>
    <w:rsid w:val="009C1DE7"/>
    <w:rsid w:val="009C5625"/>
    <w:rsid w:val="009C5962"/>
    <w:rsid w:val="009D0999"/>
    <w:rsid w:val="009F0698"/>
    <w:rsid w:val="009F6555"/>
    <w:rsid w:val="00A05705"/>
    <w:rsid w:val="00A16F03"/>
    <w:rsid w:val="00A21136"/>
    <w:rsid w:val="00A3323A"/>
    <w:rsid w:val="00A35A6C"/>
    <w:rsid w:val="00A46C66"/>
    <w:rsid w:val="00A46FAF"/>
    <w:rsid w:val="00A5674A"/>
    <w:rsid w:val="00A623EF"/>
    <w:rsid w:val="00A64F91"/>
    <w:rsid w:val="00A7438D"/>
    <w:rsid w:val="00A74797"/>
    <w:rsid w:val="00A7601D"/>
    <w:rsid w:val="00A81984"/>
    <w:rsid w:val="00AA0F23"/>
    <w:rsid w:val="00AA3E2F"/>
    <w:rsid w:val="00AA46CA"/>
    <w:rsid w:val="00AA535B"/>
    <w:rsid w:val="00AA72E0"/>
    <w:rsid w:val="00AC3273"/>
    <w:rsid w:val="00AC3F97"/>
    <w:rsid w:val="00AC68C4"/>
    <w:rsid w:val="00AD310D"/>
    <w:rsid w:val="00AD3D4D"/>
    <w:rsid w:val="00AE26D0"/>
    <w:rsid w:val="00AE4069"/>
    <w:rsid w:val="00AE7916"/>
    <w:rsid w:val="00AF09EA"/>
    <w:rsid w:val="00AF1D6D"/>
    <w:rsid w:val="00AF5632"/>
    <w:rsid w:val="00B04913"/>
    <w:rsid w:val="00B05368"/>
    <w:rsid w:val="00B2169A"/>
    <w:rsid w:val="00B31D4D"/>
    <w:rsid w:val="00B3616B"/>
    <w:rsid w:val="00B37633"/>
    <w:rsid w:val="00B518C9"/>
    <w:rsid w:val="00B52EAC"/>
    <w:rsid w:val="00B54969"/>
    <w:rsid w:val="00B752B2"/>
    <w:rsid w:val="00B80B9E"/>
    <w:rsid w:val="00B838DA"/>
    <w:rsid w:val="00B86E3A"/>
    <w:rsid w:val="00BA017F"/>
    <w:rsid w:val="00BA39BD"/>
    <w:rsid w:val="00BA7B91"/>
    <w:rsid w:val="00BA7C12"/>
    <w:rsid w:val="00BC7687"/>
    <w:rsid w:val="00BD535F"/>
    <w:rsid w:val="00BE6E64"/>
    <w:rsid w:val="00BF31B7"/>
    <w:rsid w:val="00BF4F99"/>
    <w:rsid w:val="00C10048"/>
    <w:rsid w:val="00C27DB8"/>
    <w:rsid w:val="00C30E9B"/>
    <w:rsid w:val="00C424FC"/>
    <w:rsid w:val="00C51ECC"/>
    <w:rsid w:val="00C55875"/>
    <w:rsid w:val="00C600D9"/>
    <w:rsid w:val="00C6378F"/>
    <w:rsid w:val="00C66473"/>
    <w:rsid w:val="00C67ADA"/>
    <w:rsid w:val="00C76274"/>
    <w:rsid w:val="00C810E8"/>
    <w:rsid w:val="00C847C2"/>
    <w:rsid w:val="00CA6613"/>
    <w:rsid w:val="00CC69AD"/>
    <w:rsid w:val="00CC7F14"/>
    <w:rsid w:val="00CF1664"/>
    <w:rsid w:val="00CF2E27"/>
    <w:rsid w:val="00CF3BB0"/>
    <w:rsid w:val="00CF5A8A"/>
    <w:rsid w:val="00CF6739"/>
    <w:rsid w:val="00D01278"/>
    <w:rsid w:val="00D0562E"/>
    <w:rsid w:val="00D12AB1"/>
    <w:rsid w:val="00D165EF"/>
    <w:rsid w:val="00D205EE"/>
    <w:rsid w:val="00D23B36"/>
    <w:rsid w:val="00D27AEB"/>
    <w:rsid w:val="00D51C29"/>
    <w:rsid w:val="00D53BAE"/>
    <w:rsid w:val="00D57DBA"/>
    <w:rsid w:val="00D57EBC"/>
    <w:rsid w:val="00D71F76"/>
    <w:rsid w:val="00D77095"/>
    <w:rsid w:val="00D7727C"/>
    <w:rsid w:val="00D80573"/>
    <w:rsid w:val="00D837AB"/>
    <w:rsid w:val="00D90305"/>
    <w:rsid w:val="00D94BB1"/>
    <w:rsid w:val="00D961C9"/>
    <w:rsid w:val="00D97B80"/>
    <w:rsid w:val="00DA1D73"/>
    <w:rsid w:val="00DB2761"/>
    <w:rsid w:val="00DB2FF6"/>
    <w:rsid w:val="00DD0E0C"/>
    <w:rsid w:val="00DD7765"/>
    <w:rsid w:val="00DE1260"/>
    <w:rsid w:val="00DE522D"/>
    <w:rsid w:val="00DF7B12"/>
    <w:rsid w:val="00E15B42"/>
    <w:rsid w:val="00E23955"/>
    <w:rsid w:val="00E417DF"/>
    <w:rsid w:val="00E47327"/>
    <w:rsid w:val="00E72F7B"/>
    <w:rsid w:val="00E7385D"/>
    <w:rsid w:val="00E75E68"/>
    <w:rsid w:val="00E850EA"/>
    <w:rsid w:val="00E86579"/>
    <w:rsid w:val="00E87228"/>
    <w:rsid w:val="00E90A19"/>
    <w:rsid w:val="00E974F8"/>
    <w:rsid w:val="00EA79DA"/>
    <w:rsid w:val="00EC636E"/>
    <w:rsid w:val="00EC7E55"/>
    <w:rsid w:val="00ED5E52"/>
    <w:rsid w:val="00ED6F93"/>
    <w:rsid w:val="00EE0FEA"/>
    <w:rsid w:val="00EE7CB8"/>
    <w:rsid w:val="00EF16FB"/>
    <w:rsid w:val="00F02216"/>
    <w:rsid w:val="00F0291C"/>
    <w:rsid w:val="00F048B7"/>
    <w:rsid w:val="00F101DD"/>
    <w:rsid w:val="00F14193"/>
    <w:rsid w:val="00F14D59"/>
    <w:rsid w:val="00F20CCE"/>
    <w:rsid w:val="00F30EA3"/>
    <w:rsid w:val="00F3614E"/>
    <w:rsid w:val="00F43959"/>
    <w:rsid w:val="00F56870"/>
    <w:rsid w:val="00F576E0"/>
    <w:rsid w:val="00F6440C"/>
    <w:rsid w:val="00F77DB1"/>
    <w:rsid w:val="00F901CF"/>
    <w:rsid w:val="00F906EF"/>
    <w:rsid w:val="00F97DA6"/>
    <w:rsid w:val="00FB33FD"/>
    <w:rsid w:val="00FB645E"/>
    <w:rsid w:val="00FC35ED"/>
    <w:rsid w:val="00FC5093"/>
    <w:rsid w:val="00FC5E79"/>
    <w:rsid w:val="00FC7583"/>
    <w:rsid w:val="00FD6CD9"/>
    <w:rsid w:val="00FE20D9"/>
    <w:rsid w:val="00FF7804"/>
    <w:rsid w:val="03FDA2BC"/>
    <w:rsid w:val="04904FA4"/>
    <w:rsid w:val="049B3B35"/>
    <w:rsid w:val="05BF65B9"/>
    <w:rsid w:val="097FB9B0"/>
    <w:rsid w:val="0BBD7568"/>
    <w:rsid w:val="0C7A1979"/>
    <w:rsid w:val="0D8DC5E1"/>
    <w:rsid w:val="0D9F6625"/>
    <w:rsid w:val="0EF8859F"/>
    <w:rsid w:val="0F643142"/>
    <w:rsid w:val="0FBD0BFA"/>
    <w:rsid w:val="0FF750C3"/>
    <w:rsid w:val="0FFACC31"/>
    <w:rsid w:val="10FA6C45"/>
    <w:rsid w:val="15D2125B"/>
    <w:rsid w:val="17395E35"/>
    <w:rsid w:val="17AFEFC6"/>
    <w:rsid w:val="17EE000C"/>
    <w:rsid w:val="19DFB821"/>
    <w:rsid w:val="1BDF5A24"/>
    <w:rsid w:val="1BE7A6FD"/>
    <w:rsid w:val="1D7FD58E"/>
    <w:rsid w:val="1DBFC80F"/>
    <w:rsid w:val="1DE946ED"/>
    <w:rsid w:val="1DEDD44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1709DD"/>
    <w:rsid w:val="6F273A88"/>
    <w:rsid w:val="6F3F3750"/>
    <w:rsid w:val="6F6B27C9"/>
    <w:rsid w:val="6F737271"/>
    <w:rsid w:val="6F773F08"/>
    <w:rsid w:val="6FB2140B"/>
    <w:rsid w:val="6FC5B335"/>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DEB067"/>
    <w:rsid w:val="72EF9581"/>
    <w:rsid w:val="737F54C8"/>
    <w:rsid w:val="739BF4DB"/>
    <w:rsid w:val="73BBA7E4"/>
    <w:rsid w:val="73CE945C"/>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237942"/>
    <w:rsid w:val="7C5EB97F"/>
    <w:rsid w:val="7C6F538E"/>
    <w:rsid w:val="7C775A2C"/>
    <w:rsid w:val="7C9B926A"/>
    <w:rsid w:val="7CCF1984"/>
    <w:rsid w:val="7CDAF710"/>
    <w:rsid w:val="7CFB07A8"/>
    <w:rsid w:val="7CFF9F6B"/>
    <w:rsid w:val="7D3C4828"/>
    <w:rsid w:val="7D3FC390"/>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6DDCC0"/>
  <w15:chartTrackingRefBased/>
  <w15:docId w15:val="{A17A213E-708B-41CA-BA0F-439AD3C83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Default Paragraph Font"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40"/>
      <w:jc w:val="both"/>
    </w:pPr>
    <w:rPr>
      <w:sz w:val="24"/>
      <w:szCs w:val="24"/>
      <w:lang w:val="en-GB" w:bidi="ar-AE"/>
    </w:rPr>
  </w:style>
  <w:style w:type="paragraph" w:styleId="1">
    <w:name w:val="heading 1"/>
    <w:basedOn w:val="a"/>
    <w:next w:val="a"/>
    <w:link w:val="10"/>
    <w:qFormat/>
    <w:pPr>
      <w:outlineLvl w:val="0"/>
    </w:pPr>
    <w:rPr>
      <w:rFonts w:cs="Simplified Arabic"/>
    </w:rPr>
  </w:style>
  <w:style w:type="paragraph" w:styleId="2">
    <w:name w:val="heading 2"/>
    <w:basedOn w:val="a"/>
    <w:next w:val="a0"/>
    <w:link w:val="20"/>
    <w:qFormat/>
    <w:pPr>
      <w:outlineLvl w:val="1"/>
    </w:pPr>
    <w:rPr>
      <w:rFonts w:cs="Simplified Arabic"/>
    </w:rPr>
  </w:style>
  <w:style w:type="paragraph" w:styleId="3">
    <w:name w:val="heading 3"/>
    <w:basedOn w:val="2"/>
    <w:next w:val="a0"/>
    <w:link w:val="30"/>
    <w:qFormat/>
    <w:pPr>
      <w:outlineLvl w:val="2"/>
    </w:pPr>
  </w:style>
  <w:style w:type="paragraph" w:styleId="4">
    <w:name w:val="heading 4"/>
    <w:basedOn w:val="a"/>
    <w:next w:val="a0"/>
    <w:link w:val="40"/>
    <w:qFormat/>
    <w:pPr>
      <w:outlineLvl w:val="3"/>
    </w:pPr>
    <w:rPr>
      <w:rFonts w:cs="Simplified Arabic"/>
    </w:rPr>
  </w:style>
  <w:style w:type="paragraph" w:styleId="5">
    <w:name w:val="heading 5"/>
    <w:basedOn w:val="a"/>
    <w:next w:val="a0"/>
    <w:link w:val="50"/>
    <w:qFormat/>
    <w:pPr>
      <w:outlineLvl w:val="4"/>
    </w:pPr>
    <w:rPr>
      <w:rFonts w:cs="Simplified Arabic"/>
    </w:rPr>
  </w:style>
  <w:style w:type="paragraph" w:styleId="6">
    <w:name w:val="heading 6"/>
    <w:basedOn w:val="a"/>
    <w:next w:val="a0"/>
    <w:link w:val="60"/>
    <w:qFormat/>
    <w:pPr>
      <w:outlineLvl w:val="5"/>
    </w:pPr>
    <w:rPr>
      <w:rFonts w:cs="Simplified Arabic"/>
    </w:rPr>
  </w:style>
  <w:style w:type="paragraph" w:styleId="7">
    <w:name w:val="heading 7"/>
    <w:basedOn w:val="a"/>
    <w:next w:val="a0"/>
    <w:link w:val="70"/>
    <w:qFormat/>
    <w:pPr>
      <w:outlineLvl w:val="6"/>
    </w:pPr>
    <w:rPr>
      <w:rFonts w:cs="Simplified Arabic"/>
    </w:rPr>
  </w:style>
  <w:style w:type="paragraph" w:styleId="8">
    <w:name w:val="heading 8"/>
    <w:basedOn w:val="a"/>
    <w:next w:val="a0"/>
    <w:link w:val="80"/>
    <w:qFormat/>
    <w:pPr>
      <w:outlineLvl w:val="7"/>
    </w:pPr>
    <w:rPr>
      <w:rFonts w:cs="Simplified Arabic"/>
    </w:rPr>
  </w:style>
  <w:style w:type="paragraph" w:styleId="9">
    <w:name w:val="heading 9"/>
    <w:basedOn w:val="a"/>
    <w:next w:val="a0"/>
    <w:link w:val="90"/>
    <w:qFormat/>
    <w:pPr>
      <w:outlineLvl w:val="8"/>
    </w:pPr>
    <w:rPr>
      <w:rFonts w:cs="Simplified Arabic"/>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val="en-GB" w:bidi="ar-AE"/>
    </w:rPr>
  </w:style>
  <w:style w:type="character" w:customStyle="1" w:styleId="a5">
    <w:name w:val="宏文本 字符"/>
    <w:link w:val="a4"/>
    <w:rPr>
      <w:rFonts w:ascii="Courier New" w:hAnsi="Courier New" w:cs="Courier New"/>
      <w:lang w:val="en-GB" w:eastAsia="zh-CN" w:bidi="ar-AE"/>
    </w:rPr>
  </w:style>
  <w:style w:type="character" w:customStyle="1" w:styleId="10">
    <w:name w:val="标题 1 字符"/>
    <w:link w:val="1"/>
    <w:rPr>
      <w:sz w:val="24"/>
      <w:szCs w:val="24"/>
      <w:lang w:bidi="ar-AE"/>
    </w:rPr>
  </w:style>
  <w:style w:type="character" w:customStyle="1" w:styleId="20">
    <w:name w:val="标题 2 字符"/>
    <w:link w:val="2"/>
    <w:rPr>
      <w:sz w:val="24"/>
      <w:szCs w:val="24"/>
      <w:lang w:bidi="ar-AE"/>
    </w:rPr>
  </w:style>
  <w:style w:type="paragraph" w:styleId="a0">
    <w:name w:val="Body Text"/>
    <w:basedOn w:val="a"/>
    <w:link w:val="a6"/>
    <w:rPr>
      <w:rFonts w:cs="Simplified Arabic"/>
      <w:lang w:eastAsia="en-GB"/>
    </w:rPr>
  </w:style>
  <w:style w:type="character" w:customStyle="1" w:styleId="a6">
    <w:name w:val="正文文本 字符"/>
    <w:link w:val="a0"/>
    <w:rPr>
      <w:sz w:val="24"/>
      <w:szCs w:val="24"/>
      <w:lang w:eastAsia="en-GB" w:bidi="ar-AE"/>
    </w:rPr>
  </w:style>
  <w:style w:type="character" w:customStyle="1" w:styleId="30">
    <w:name w:val="标题 3 字符"/>
    <w:link w:val="3"/>
    <w:rPr>
      <w:sz w:val="24"/>
      <w:szCs w:val="24"/>
      <w:lang w:bidi="ar-AE"/>
    </w:rPr>
  </w:style>
  <w:style w:type="character" w:customStyle="1" w:styleId="40">
    <w:name w:val="标题 4 字符"/>
    <w:link w:val="4"/>
    <w:rPr>
      <w:sz w:val="24"/>
      <w:szCs w:val="24"/>
      <w:lang w:bidi="ar-AE"/>
    </w:rPr>
  </w:style>
  <w:style w:type="character" w:customStyle="1" w:styleId="50">
    <w:name w:val="标题 5 字符"/>
    <w:link w:val="5"/>
    <w:rPr>
      <w:sz w:val="24"/>
      <w:szCs w:val="24"/>
      <w:lang w:bidi="ar-AE"/>
    </w:rPr>
  </w:style>
  <w:style w:type="character" w:customStyle="1" w:styleId="60">
    <w:name w:val="标题 6 字符"/>
    <w:link w:val="6"/>
    <w:rPr>
      <w:sz w:val="24"/>
      <w:szCs w:val="24"/>
      <w:lang w:bidi="ar-AE"/>
    </w:rPr>
  </w:style>
  <w:style w:type="character" w:customStyle="1" w:styleId="70">
    <w:name w:val="标题 7 字符"/>
    <w:link w:val="7"/>
    <w:rPr>
      <w:sz w:val="24"/>
      <w:szCs w:val="24"/>
      <w:lang w:bidi="ar-AE"/>
    </w:rPr>
  </w:style>
  <w:style w:type="character" w:customStyle="1" w:styleId="80">
    <w:name w:val="标题 8 字符"/>
    <w:link w:val="8"/>
    <w:rPr>
      <w:sz w:val="24"/>
      <w:szCs w:val="24"/>
      <w:lang w:bidi="ar-AE"/>
    </w:rPr>
  </w:style>
  <w:style w:type="character" w:customStyle="1" w:styleId="90">
    <w:name w:val="标题 9 字符"/>
    <w:link w:val="9"/>
    <w:rPr>
      <w:sz w:val="24"/>
      <w:szCs w:val="24"/>
      <w:lang w:bidi="ar-AE"/>
    </w:rPr>
  </w:style>
  <w:style w:type="paragraph" w:styleId="31">
    <w:name w:val="List 3"/>
    <w:basedOn w:val="a"/>
    <w:pPr>
      <w:ind w:left="1080" w:hanging="360"/>
      <w:contextualSpacing/>
    </w:pPr>
  </w:style>
  <w:style w:type="paragraph" w:styleId="71">
    <w:name w:val="toc 7"/>
    <w:basedOn w:val="a"/>
    <w:next w:val="a"/>
    <w:pPr>
      <w:ind w:left="1440"/>
    </w:pPr>
  </w:style>
  <w:style w:type="paragraph" w:styleId="a7">
    <w:name w:val="table of authorities"/>
    <w:basedOn w:val="a"/>
    <w:next w:val="a"/>
    <w:pPr>
      <w:ind w:left="240" w:hanging="240"/>
    </w:pPr>
  </w:style>
  <w:style w:type="paragraph" w:styleId="a8">
    <w:name w:val="Note Heading"/>
    <w:basedOn w:val="a"/>
    <w:next w:val="a"/>
    <w:link w:val="a9"/>
    <w:rPr>
      <w:rFonts w:cs="Simplified Arabic"/>
    </w:rPr>
  </w:style>
  <w:style w:type="character" w:customStyle="1" w:styleId="a9">
    <w:name w:val="注释标题 字符"/>
    <w:link w:val="a8"/>
    <w:rPr>
      <w:sz w:val="24"/>
      <w:szCs w:val="24"/>
      <w:lang w:bidi="ar-AE"/>
    </w:rPr>
  </w:style>
  <w:style w:type="paragraph" w:styleId="81">
    <w:name w:val="index 8"/>
    <w:basedOn w:val="a"/>
    <w:next w:val="a"/>
    <w:pPr>
      <w:ind w:left="1920" w:hanging="240"/>
    </w:pPr>
  </w:style>
  <w:style w:type="paragraph" w:styleId="aa">
    <w:name w:val="E-mail Signature"/>
    <w:basedOn w:val="a"/>
    <w:link w:val="ab"/>
    <w:rPr>
      <w:rFonts w:cs="Simplified Arabic"/>
    </w:rPr>
  </w:style>
  <w:style w:type="character" w:customStyle="1" w:styleId="ab">
    <w:name w:val="电子邮件签名 字符"/>
    <w:link w:val="aa"/>
    <w:rPr>
      <w:sz w:val="24"/>
      <w:szCs w:val="24"/>
      <w:lang w:bidi="ar-AE"/>
    </w:rPr>
  </w:style>
  <w:style w:type="paragraph" w:styleId="ac">
    <w:name w:val="Normal Indent"/>
    <w:basedOn w:val="a"/>
    <w:pPr>
      <w:ind w:left="720"/>
    </w:pPr>
  </w:style>
  <w:style w:type="paragraph" w:styleId="ad">
    <w:name w:val="caption"/>
    <w:basedOn w:val="a"/>
    <w:next w:val="a"/>
    <w:qFormat/>
    <w:rPr>
      <w:b/>
      <w:bCs/>
      <w:sz w:val="20"/>
      <w:szCs w:val="20"/>
    </w:rPr>
  </w:style>
  <w:style w:type="paragraph" w:styleId="51">
    <w:name w:val="index 5"/>
    <w:basedOn w:val="a"/>
    <w:next w:val="a"/>
    <w:pPr>
      <w:ind w:left="1200" w:hanging="240"/>
    </w:pPr>
  </w:style>
  <w:style w:type="paragraph" w:styleId="ae">
    <w:name w:val="envelope address"/>
    <w:basedOn w:val="a"/>
    <w:pPr>
      <w:framePr w:w="7920" w:h="1980" w:hRule="exact" w:hSpace="180" w:wrap="auto" w:hAnchor="page" w:xAlign="center" w:yAlign="bottom"/>
      <w:ind w:left="2880"/>
    </w:pPr>
    <w:rPr>
      <w:rFonts w:cs="Simplified Arabic"/>
    </w:rPr>
  </w:style>
  <w:style w:type="paragraph" w:styleId="af">
    <w:name w:val="Document Map"/>
    <w:basedOn w:val="a"/>
    <w:link w:val="af0"/>
    <w:rPr>
      <w:rFonts w:ascii="Tahoma" w:hAnsi="Tahoma" w:cs="Tahoma"/>
      <w:sz w:val="16"/>
      <w:szCs w:val="16"/>
    </w:rPr>
  </w:style>
  <w:style w:type="character" w:customStyle="1" w:styleId="af0">
    <w:name w:val="文档结构图 字符"/>
    <w:link w:val="af"/>
    <w:rPr>
      <w:rFonts w:ascii="Tahoma" w:hAnsi="Tahoma" w:cs="Tahoma"/>
      <w:sz w:val="16"/>
      <w:szCs w:val="16"/>
      <w:lang w:bidi="ar-AE"/>
    </w:rPr>
  </w:style>
  <w:style w:type="paragraph" w:styleId="af1">
    <w:name w:val="toa heading"/>
    <w:basedOn w:val="a"/>
    <w:next w:val="a"/>
    <w:pPr>
      <w:spacing w:before="120"/>
    </w:pPr>
    <w:rPr>
      <w:rFonts w:cs="Simplified Arabic"/>
      <w:b/>
      <w:bCs/>
    </w:rPr>
  </w:style>
  <w:style w:type="paragraph" w:styleId="af2">
    <w:name w:val="annotation text"/>
    <w:basedOn w:val="a"/>
    <w:link w:val="af3"/>
    <w:pPr>
      <w:spacing w:after="120"/>
    </w:pPr>
    <w:rPr>
      <w:rFonts w:cs="Simplified Arabic"/>
      <w:sz w:val="20"/>
      <w:szCs w:val="20"/>
    </w:rPr>
  </w:style>
  <w:style w:type="character" w:customStyle="1" w:styleId="af3">
    <w:name w:val="批注文字 字符"/>
    <w:link w:val="af2"/>
    <w:rPr>
      <w:lang w:bidi="ar-AE"/>
    </w:rPr>
  </w:style>
  <w:style w:type="paragraph" w:styleId="61">
    <w:name w:val="index 6"/>
    <w:basedOn w:val="a"/>
    <w:next w:val="a"/>
    <w:pPr>
      <w:ind w:left="1440" w:hanging="240"/>
    </w:pPr>
  </w:style>
  <w:style w:type="paragraph" w:styleId="af4">
    <w:name w:val="Salutation"/>
    <w:basedOn w:val="a"/>
    <w:next w:val="a"/>
    <w:link w:val="af5"/>
    <w:rPr>
      <w:rFonts w:cs="Simplified Arabic"/>
    </w:rPr>
  </w:style>
  <w:style w:type="character" w:customStyle="1" w:styleId="af5">
    <w:name w:val="称呼 字符"/>
    <w:link w:val="af4"/>
    <w:rPr>
      <w:sz w:val="24"/>
      <w:szCs w:val="24"/>
      <w:lang w:bidi="ar-AE"/>
    </w:rPr>
  </w:style>
  <w:style w:type="paragraph" w:styleId="32">
    <w:name w:val="Body Text 3"/>
    <w:basedOn w:val="a"/>
    <w:link w:val="33"/>
    <w:pPr>
      <w:ind w:left="2160"/>
    </w:pPr>
    <w:rPr>
      <w:rFonts w:cs="Simplified Arabic"/>
      <w:lang w:eastAsia="en-GB"/>
    </w:rPr>
  </w:style>
  <w:style w:type="character" w:customStyle="1" w:styleId="33">
    <w:name w:val="正文文本 3 字符"/>
    <w:link w:val="32"/>
    <w:rPr>
      <w:sz w:val="24"/>
      <w:szCs w:val="24"/>
      <w:lang w:eastAsia="en-GB" w:bidi="ar-AE"/>
    </w:rPr>
  </w:style>
  <w:style w:type="paragraph" w:styleId="af6">
    <w:name w:val="Closing"/>
    <w:basedOn w:val="a"/>
    <w:link w:val="af7"/>
    <w:pPr>
      <w:ind w:left="4320"/>
    </w:pPr>
    <w:rPr>
      <w:rFonts w:cs="Simplified Arabic"/>
    </w:rPr>
  </w:style>
  <w:style w:type="character" w:customStyle="1" w:styleId="af7">
    <w:name w:val="结束语 字符"/>
    <w:link w:val="af6"/>
    <w:rPr>
      <w:sz w:val="24"/>
      <w:szCs w:val="24"/>
      <w:lang w:bidi="ar-AE"/>
    </w:rPr>
  </w:style>
  <w:style w:type="paragraph" w:styleId="af8">
    <w:name w:val="Body Text Indent"/>
    <w:basedOn w:val="a"/>
    <w:link w:val="af9"/>
    <w:pPr>
      <w:spacing w:after="120"/>
      <w:ind w:left="283"/>
    </w:pPr>
    <w:rPr>
      <w:rFonts w:cs="Simplified Arabic"/>
    </w:rPr>
  </w:style>
  <w:style w:type="character" w:customStyle="1" w:styleId="af9">
    <w:name w:val="正文文本缩进 字符"/>
    <w:link w:val="af8"/>
    <w:rPr>
      <w:sz w:val="24"/>
      <w:szCs w:val="24"/>
      <w:lang w:bidi="ar-AE"/>
    </w:rPr>
  </w:style>
  <w:style w:type="paragraph" w:styleId="21">
    <w:name w:val="List 2"/>
    <w:basedOn w:val="a"/>
    <w:pPr>
      <w:ind w:left="720" w:hanging="360"/>
      <w:contextualSpacing/>
    </w:pPr>
  </w:style>
  <w:style w:type="paragraph" w:styleId="afa">
    <w:name w:val="List Continue"/>
    <w:basedOn w:val="a"/>
    <w:pPr>
      <w:spacing w:after="120"/>
      <w:ind w:left="360"/>
      <w:contextualSpacing/>
    </w:pPr>
  </w:style>
  <w:style w:type="paragraph" w:styleId="afb">
    <w:name w:val="Block Text"/>
    <w:basedOn w:val="a"/>
    <w:pPr>
      <w:spacing w:after="120"/>
      <w:ind w:left="1440" w:right="1440"/>
    </w:pPr>
  </w:style>
  <w:style w:type="paragraph" w:styleId="HTML">
    <w:name w:val="HTML Address"/>
    <w:basedOn w:val="a"/>
    <w:link w:val="HTML0"/>
    <w:rPr>
      <w:rFonts w:cs="Simplified Arabic"/>
      <w:i/>
      <w:iCs/>
    </w:rPr>
  </w:style>
  <w:style w:type="character" w:customStyle="1" w:styleId="HTML0">
    <w:name w:val="HTML 地址 字符"/>
    <w:link w:val="HTML"/>
    <w:rPr>
      <w:i/>
      <w:iCs/>
      <w:sz w:val="24"/>
      <w:szCs w:val="24"/>
      <w:lang w:bidi="ar-AE"/>
    </w:rPr>
  </w:style>
  <w:style w:type="paragraph" w:styleId="41">
    <w:name w:val="index 4"/>
    <w:basedOn w:val="a"/>
    <w:next w:val="a"/>
    <w:pPr>
      <w:ind w:left="960" w:hanging="240"/>
    </w:pPr>
  </w:style>
  <w:style w:type="paragraph" w:styleId="52">
    <w:name w:val="toc 5"/>
    <w:basedOn w:val="a"/>
    <w:next w:val="a"/>
    <w:pPr>
      <w:ind w:left="960"/>
    </w:pPr>
  </w:style>
  <w:style w:type="paragraph" w:styleId="34">
    <w:name w:val="toc 3"/>
    <w:basedOn w:val="a"/>
    <w:next w:val="a"/>
    <w:pPr>
      <w:ind w:left="480"/>
    </w:pPr>
  </w:style>
  <w:style w:type="paragraph" w:styleId="afc">
    <w:name w:val="Plain Text"/>
    <w:basedOn w:val="a"/>
    <w:link w:val="afd"/>
    <w:rPr>
      <w:rFonts w:ascii="Courier New" w:hAnsi="Courier New" w:cs="Courier New"/>
      <w:sz w:val="20"/>
      <w:szCs w:val="20"/>
    </w:rPr>
  </w:style>
  <w:style w:type="character" w:customStyle="1" w:styleId="afd">
    <w:name w:val="纯文本 字符"/>
    <w:link w:val="afc"/>
    <w:rPr>
      <w:rFonts w:ascii="Courier New" w:hAnsi="Courier New" w:cs="Courier New"/>
      <w:lang w:bidi="ar-AE"/>
    </w:rPr>
  </w:style>
  <w:style w:type="paragraph" w:styleId="82">
    <w:name w:val="toc 8"/>
    <w:basedOn w:val="a"/>
    <w:next w:val="a"/>
    <w:pPr>
      <w:ind w:left="1680"/>
    </w:pPr>
  </w:style>
  <w:style w:type="paragraph" w:styleId="35">
    <w:name w:val="index 3"/>
    <w:basedOn w:val="a"/>
    <w:next w:val="a"/>
    <w:pPr>
      <w:ind w:left="720" w:hanging="240"/>
    </w:pPr>
  </w:style>
  <w:style w:type="paragraph" w:styleId="afe">
    <w:name w:val="Date"/>
    <w:basedOn w:val="a"/>
    <w:next w:val="a"/>
    <w:link w:val="aff"/>
    <w:rPr>
      <w:rFonts w:cs="Simplified Arabic"/>
    </w:rPr>
  </w:style>
  <w:style w:type="character" w:customStyle="1" w:styleId="aff">
    <w:name w:val="日期 字符"/>
    <w:link w:val="afe"/>
    <w:rPr>
      <w:sz w:val="24"/>
      <w:szCs w:val="24"/>
      <w:lang w:bidi="ar-AE"/>
    </w:rPr>
  </w:style>
  <w:style w:type="paragraph" w:styleId="22">
    <w:name w:val="Body Text Indent 2"/>
    <w:basedOn w:val="a"/>
    <w:link w:val="23"/>
    <w:pPr>
      <w:spacing w:after="120"/>
      <w:ind w:left="360"/>
    </w:pPr>
    <w:rPr>
      <w:rFonts w:cs="Simplified Arabic"/>
    </w:rPr>
  </w:style>
  <w:style w:type="character" w:customStyle="1" w:styleId="23">
    <w:name w:val="正文文本缩进 2 字符"/>
    <w:link w:val="22"/>
    <w:rPr>
      <w:sz w:val="24"/>
      <w:szCs w:val="24"/>
      <w:lang w:bidi="ar-AE"/>
    </w:rPr>
  </w:style>
  <w:style w:type="paragraph" w:styleId="aff0">
    <w:name w:val="endnote text"/>
    <w:basedOn w:val="a"/>
    <w:next w:val="a"/>
    <w:link w:val="aff1"/>
    <w:pPr>
      <w:spacing w:after="120"/>
      <w:ind w:left="340" w:hanging="340"/>
    </w:pPr>
    <w:rPr>
      <w:rFonts w:cs="Simplified Arabic"/>
      <w:sz w:val="20"/>
      <w:szCs w:val="20"/>
    </w:rPr>
  </w:style>
  <w:style w:type="character" w:customStyle="1" w:styleId="aff1">
    <w:name w:val="尾注文本 字符"/>
    <w:link w:val="aff0"/>
    <w:rPr>
      <w:lang w:bidi="ar-AE"/>
    </w:rPr>
  </w:style>
  <w:style w:type="paragraph" w:styleId="53">
    <w:name w:val="List Continue 5"/>
    <w:basedOn w:val="a"/>
    <w:pPr>
      <w:spacing w:after="120"/>
      <w:ind w:left="1800"/>
      <w:contextualSpacing/>
    </w:pPr>
  </w:style>
  <w:style w:type="paragraph" w:styleId="aff2">
    <w:name w:val="Balloon Text"/>
    <w:basedOn w:val="a"/>
    <w:link w:val="aff3"/>
    <w:pPr>
      <w:spacing w:after="0"/>
    </w:pPr>
    <w:rPr>
      <w:rFonts w:ascii="Tahoma" w:hAnsi="Tahoma" w:cs="Tahoma"/>
      <w:sz w:val="16"/>
      <w:szCs w:val="16"/>
    </w:rPr>
  </w:style>
  <w:style w:type="character" w:customStyle="1" w:styleId="aff3">
    <w:name w:val="批注框文本 字符"/>
    <w:link w:val="aff2"/>
    <w:rPr>
      <w:rFonts w:ascii="Tahoma" w:hAnsi="Tahoma" w:cs="Tahoma"/>
      <w:sz w:val="16"/>
      <w:szCs w:val="16"/>
      <w:lang w:bidi="ar-AE"/>
    </w:rPr>
  </w:style>
  <w:style w:type="paragraph" w:styleId="aff4">
    <w:name w:val="footer"/>
    <w:link w:val="aff5"/>
    <w:rPr>
      <w:sz w:val="16"/>
      <w:szCs w:val="16"/>
      <w:lang w:val="en-GB" w:bidi="he-IL"/>
    </w:rPr>
  </w:style>
  <w:style w:type="character" w:customStyle="1" w:styleId="aff5">
    <w:name w:val="页脚 字符"/>
    <w:link w:val="aff4"/>
    <w:rPr>
      <w:sz w:val="16"/>
      <w:szCs w:val="16"/>
      <w:lang w:val="en-GB" w:eastAsia="zh-CN" w:bidi="he-IL"/>
    </w:rPr>
  </w:style>
  <w:style w:type="paragraph" w:styleId="aff6">
    <w:name w:val="envelope return"/>
    <w:basedOn w:val="a"/>
    <w:rPr>
      <w:rFonts w:cs="Simplified Arabic"/>
      <w:sz w:val="20"/>
      <w:szCs w:val="20"/>
    </w:rPr>
  </w:style>
  <w:style w:type="paragraph" w:styleId="aff7">
    <w:name w:val="header"/>
    <w:link w:val="aff8"/>
    <w:uiPriority w:val="99"/>
    <w:pPr>
      <w:jc w:val="both"/>
    </w:pPr>
    <w:rPr>
      <w:sz w:val="24"/>
      <w:szCs w:val="24"/>
      <w:lang w:val="en-GB" w:bidi="he-IL"/>
    </w:rPr>
  </w:style>
  <w:style w:type="character" w:customStyle="1" w:styleId="aff8">
    <w:name w:val="页眉 字符"/>
    <w:link w:val="aff7"/>
    <w:uiPriority w:val="99"/>
    <w:rPr>
      <w:sz w:val="24"/>
      <w:szCs w:val="24"/>
      <w:lang w:val="en-GB" w:eastAsia="zh-CN" w:bidi="he-IL"/>
    </w:rPr>
  </w:style>
  <w:style w:type="paragraph" w:styleId="aff9">
    <w:name w:val="Signature"/>
    <w:basedOn w:val="a"/>
    <w:link w:val="affa"/>
    <w:pPr>
      <w:ind w:left="4320"/>
    </w:pPr>
    <w:rPr>
      <w:rFonts w:cs="Simplified Arabic"/>
    </w:rPr>
  </w:style>
  <w:style w:type="character" w:customStyle="1" w:styleId="affa">
    <w:name w:val="签名 字符"/>
    <w:link w:val="aff9"/>
    <w:rPr>
      <w:sz w:val="24"/>
      <w:szCs w:val="24"/>
      <w:lang w:bidi="ar-AE"/>
    </w:rPr>
  </w:style>
  <w:style w:type="paragraph" w:styleId="11">
    <w:name w:val="toc 1"/>
    <w:basedOn w:val="a"/>
    <w:next w:val="a0"/>
    <w:pPr>
      <w:tabs>
        <w:tab w:val="right" w:leader="dot" w:pos="9016"/>
      </w:tabs>
      <w:adjustRightInd w:val="0"/>
      <w:snapToGrid w:val="0"/>
      <w:spacing w:before="100" w:after="100"/>
      <w:ind w:left="510" w:hanging="510"/>
    </w:pPr>
    <w:rPr>
      <w:snapToGrid w:val="0"/>
      <w:lang w:bidi="he-IL"/>
    </w:rPr>
  </w:style>
  <w:style w:type="paragraph" w:styleId="42">
    <w:name w:val="List Continue 4"/>
    <w:basedOn w:val="a"/>
    <w:pPr>
      <w:spacing w:after="120"/>
      <w:ind w:left="1440"/>
      <w:contextualSpacing/>
    </w:pPr>
  </w:style>
  <w:style w:type="paragraph" w:styleId="43">
    <w:name w:val="toc 4"/>
    <w:basedOn w:val="a"/>
    <w:next w:val="a"/>
    <w:pPr>
      <w:ind w:left="720"/>
    </w:pPr>
  </w:style>
  <w:style w:type="paragraph" w:styleId="affb">
    <w:name w:val="index heading"/>
    <w:basedOn w:val="a"/>
    <w:next w:val="a"/>
    <w:rPr>
      <w:b/>
      <w:bCs/>
    </w:rPr>
  </w:style>
  <w:style w:type="paragraph" w:styleId="affc">
    <w:name w:val="Subtitle"/>
    <w:basedOn w:val="a"/>
    <w:next w:val="a0"/>
    <w:link w:val="affd"/>
    <w:qFormat/>
    <w:pPr>
      <w:jc w:val="center"/>
    </w:pPr>
    <w:rPr>
      <w:rFonts w:cs="Simplified Arabic"/>
    </w:rPr>
  </w:style>
  <w:style w:type="character" w:customStyle="1" w:styleId="affd">
    <w:name w:val="副标题 字符"/>
    <w:link w:val="affc"/>
    <w:rPr>
      <w:sz w:val="24"/>
      <w:szCs w:val="24"/>
      <w:lang w:bidi="ar-AE"/>
    </w:rPr>
  </w:style>
  <w:style w:type="paragraph" w:styleId="affe">
    <w:name w:val="List"/>
    <w:basedOn w:val="a"/>
    <w:pPr>
      <w:ind w:left="360" w:hanging="360"/>
      <w:contextualSpacing/>
    </w:pPr>
  </w:style>
  <w:style w:type="paragraph" w:styleId="afff">
    <w:name w:val="footnote text"/>
    <w:basedOn w:val="a"/>
    <w:next w:val="a"/>
    <w:link w:val="afff0"/>
    <w:pPr>
      <w:spacing w:after="120"/>
      <w:ind w:left="340" w:hanging="340"/>
    </w:pPr>
    <w:rPr>
      <w:rFonts w:cs="Simplified Arabic"/>
      <w:sz w:val="20"/>
      <w:szCs w:val="20"/>
    </w:rPr>
  </w:style>
  <w:style w:type="character" w:customStyle="1" w:styleId="afff0">
    <w:name w:val="脚注文本 字符"/>
    <w:link w:val="afff"/>
    <w:rPr>
      <w:lang w:bidi="ar-AE"/>
    </w:rPr>
  </w:style>
  <w:style w:type="paragraph" w:styleId="62">
    <w:name w:val="toc 6"/>
    <w:basedOn w:val="a"/>
    <w:next w:val="a"/>
    <w:pPr>
      <w:ind w:left="1200"/>
    </w:pPr>
  </w:style>
  <w:style w:type="paragraph" w:styleId="54">
    <w:name w:val="List 5"/>
    <w:basedOn w:val="a"/>
    <w:pPr>
      <w:ind w:left="1800" w:hanging="360"/>
      <w:contextualSpacing/>
    </w:pPr>
  </w:style>
  <w:style w:type="paragraph" w:styleId="36">
    <w:name w:val="Body Text Indent 3"/>
    <w:basedOn w:val="a"/>
    <w:link w:val="37"/>
    <w:pPr>
      <w:spacing w:after="120"/>
      <w:ind w:left="360"/>
    </w:pPr>
    <w:rPr>
      <w:rFonts w:cs="Simplified Arabic"/>
      <w:sz w:val="16"/>
      <w:szCs w:val="16"/>
    </w:rPr>
  </w:style>
  <w:style w:type="character" w:customStyle="1" w:styleId="37">
    <w:name w:val="正文文本缩进 3 字符"/>
    <w:link w:val="36"/>
    <w:rPr>
      <w:sz w:val="16"/>
      <w:szCs w:val="16"/>
      <w:lang w:bidi="ar-AE"/>
    </w:rPr>
  </w:style>
  <w:style w:type="paragraph" w:styleId="72">
    <w:name w:val="index 7"/>
    <w:basedOn w:val="a"/>
    <w:next w:val="a"/>
    <w:pPr>
      <w:ind w:left="1680" w:hanging="240"/>
    </w:pPr>
  </w:style>
  <w:style w:type="paragraph" w:styleId="91">
    <w:name w:val="index 9"/>
    <w:basedOn w:val="a"/>
    <w:next w:val="a"/>
    <w:pPr>
      <w:ind w:left="2160" w:hanging="240"/>
    </w:pPr>
  </w:style>
  <w:style w:type="paragraph" w:styleId="afff1">
    <w:name w:val="table of figures"/>
    <w:basedOn w:val="a"/>
    <w:next w:val="a"/>
  </w:style>
  <w:style w:type="paragraph" w:styleId="24">
    <w:name w:val="toc 2"/>
    <w:basedOn w:val="a"/>
    <w:next w:val="a0"/>
    <w:pPr>
      <w:tabs>
        <w:tab w:val="right" w:leader="dot" w:pos="9015"/>
      </w:tabs>
      <w:adjustRightInd w:val="0"/>
      <w:snapToGrid w:val="0"/>
      <w:spacing w:before="100" w:after="100"/>
      <w:ind w:left="1230" w:hanging="720"/>
    </w:pPr>
    <w:rPr>
      <w:snapToGrid w:val="0"/>
      <w:lang w:bidi="he-IL"/>
    </w:rPr>
  </w:style>
  <w:style w:type="paragraph" w:styleId="92">
    <w:name w:val="toc 9"/>
    <w:basedOn w:val="a"/>
    <w:next w:val="a"/>
    <w:pPr>
      <w:ind w:left="1920"/>
    </w:pPr>
  </w:style>
  <w:style w:type="paragraph" w:styleId="25">
    <w:name w:val="Body Text 2"/>
    <w:basedOn w:val="a"/>
    <w:link w:val="26"/>
    <w:pPr>
      <w:ind w:left="1440"/>
    </w:pPr>
    <w:rPr>
      <w:rFonts w:cs="Simplified Arabic"/>
      <w:lang w:eastAsia="en-GB"/>
    </w:rPr>
  </w:style>
  <w:style w:type="character" w:customStyle="1" w:styleId="26">
    <w:name w:val="正文文本 2 字符"/>
    <w:link w:val="25"/>
    <w:rPr>
      <w:sz w:val="24"/>
      <w:szCs w:val="24"/>
      <w:lang w:eastAsia="en-GB" w:bidi="ar-AE"/>
    </w:rPr>
  </w:style>
  <w:style w:type="paragraph" w:styleId="44">
    <w:name w:val="List 4"/>
    <w:basedOn w:val="a"/>
    <w:pPr>
      <w:ind w:left="1440" w:hanging="360"/>
      <w:contextualSpacing/>
    </w:pPr>
  </w:style>
  <w:style w:type="paragraph" w:styleId="27">
    <w:name w:val="List Continue 2"/>
    <w:basedOn w:val="a"/>
    <w:pPr>
      <w:spacing w:after="120"/>
      <w:ind w:left="720"/>
      <w:contextualSpacing/>
    </w:pPr>
  </w:style>
  <w:style w:type="paragraph" w:styleId="afff2">
    <w:name w:val="Message Header"/>
    <w:basedOn w:val="a"/>
    <w:link w:val="afff3"/>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rPr>
  </w:style>
  <w:style w:type="character" w:customStyle="1" w:styleId="afff3">
    <w:name w:val="信息标题 字符"/>
    <w:link w:val="afff2"/>
    <w:rPr>
      <w:rFonts w:ascii="Times New Roman" w:eastAsia="宋体" w:hAnsi="Times New Roman" w:cs="Simplified Arabic"/>
      <w:sz w:val="24"/>
      <w:szCs w:val="24"/>
      <w:shd w:val="pct20" w:color="auto" w:fill="auto"/>
      <w:lang w:bidi="ar-AE"/>
    </w:rPr>
  </w:style>
  <w:style w:type="paragraph" w:styleId="HTML1">
    <w:name w:val="HTML Preformatted"/>
    <w:basedOn w:val="a"/>
    <w:link w:val="HTML2"/>
    <w:rPr>
      <w:rFonts w:ascii="Courier New" w:hAnsi="Courier New" w:cs="Courier New"/>
      <w:sz w:val="20"/>
      <w:szCs w:val="20"/>
    </w:rPr>
  </w:style>
  <w:style w:type="character" w:customStyle="1" w:styleId="HTML2">
    <w:name w:val="HTML 预设格式 字符"/>
    <w:link w:val="HTML1"/>
    <w:rPr>
      <w:rFonts w:ascii="Courier New" w:hAnsi="Courier New" w:cs="Courier New"/>
      <w:lang w:bidi="ar-AE"/>
    </w:rPr>
  </w:style>
  <w:style w:type="paragraph" w:styleId="afff4">
    <w:name w:val="Normal (Web)"/>
    <w:basedOn w:val="a"/>
  </w:style>
  <w:style w:type="paragraph" w:styleId="38">
    <w:name w:val="List Continue 3"/>
    <w:basedOn w:val="a"/>
    <w:pPr>
      <w:spacing w:after="120"/>
      <w:ind w:left="1080"/>
      <w:contextualSpacing/>
    </w:pPr>
  </w:style>
  <w:style w:type="paragraph" w:styleId="12">
    <w:name w:val="index 1"/>
    <w:basedOn w:val="a"/>
    <w:next w:val="a"/>
    <w:pPr>
      <w:ind w:left="240" w:hanging="240"/>
    </w:pPr>
  </w:style>
  <w:style w:type="paragraph" w:styleId="28">
    <w:name w:val="index 2"/>
    <w:basedOn w:val="a"/>
    <w:next w:val="a"/>
    <w:pPr>
      <w:ind w:left="480" w:hanging="240"/>
    </w:pPr>
  </w:style>
  <w:style w:type="paragraph" w:styleId="afff5">
    <w:name w:val="Title"/>
    <w:basedOn w:val="a"/>
    <w:next w:val="a0"/>
    <w:link w:val="afff6"/>
    <w:qFormat/>
    <w:pPr>
      <w:jc w:val="center"/>
    </w:pPr>
    <w:rPr>
      <w:rFonts w:cs="Simplified Arabic"/>
      <w:b/>
      <w:bCs/>
    </w:rPr>
  </w:style>
  <w:style w:type="character" w:customStyle="1" w:styleId="afff6">
    <w:name w:val="标题 字符"/>
    <w:link w:val="afff5"/>
    <w:rPr>
      <w:b/>
      <w:bCs/>
      <w:sz w:val="24"/>
      <w:szCs w:val="24"/>
      <w:lang w:bidi="ar-AE"/>
    </w:rPr>
  </w:style>
  <w:style w:type="paragraph" w:styleId="afff7">
    <w:name w:val="annotation subject"/>
    <w:basedOn w:val="af2"/>
    <w:next w:val="af2"/>
    <w:link w:val="afff8"/>
    <w:pPr>
      <w:spacing w:after="240"/>
    </w:pPr>
    <w:rPr>
      <w:b/>
      <w:bCs/>
    </w:rPr>
  </w:style>
  <w:style w:type="character" w:customStyle="1" w:styleId="afff8">
    <w:name w:val="批注主题 字符"/>
    <w:link w:val="afff7"/>
    <w:rPr>
      <w:b/>
      <w:bCs/>
      <w:lang w:bidi="ar-AE"/>
    </w:rPr>
  </w:style>
  <w:style w:type="paragraph" w:styleId="afff9">
    <w:name w:val="Body Text First Indent"/>
    <w:basedOn w:val="a0"/>
    <w:link w:val="afffa"/>
    <w:pPr>
      <w:ind w:firstLine="720"/>
    </w:pPr>
  </w:style>
  <w:style w:type="character" w:customStyle="1" w:styleId="afffa">
    <w:name w:val="正文首行缩进 字符"/>
    <w:link w:val="afff9"/>
    <w:rPr>
      <w:sz w:val="24"/>
      <w:szCs w:val="24"/>
      <w:lang w:eastAsia="en-GB" w:bidi="ar-AE"/>
    </w:rPr>
  </w:style>
  <w:style w:type="paragraph" w:styleId="29">
    <w:name w:val="Body Text First Indent 2"/>
    <w:basedOn w:val="afff9"/>
    <w:link w:val="2a"/>
    <w:pPr>
      <w:ind w:firstLine="1440"/>
    </w:pPr>
  </w:style>
  <w:style w:type="character" w:customStyle="1" w:styleId="2a">
    <w:name w:val="正文首行缩进 2 字符"/>
    <w:link w:val="29"/>
    <w:rPr>
      <w:sz w:val="24"/>
      <w:szCs w:val="24"/>
      <w:lang w:eastAsia="en-GB" w:bidi="ar-AE"/>
    </w:rPr>
  </w:style>
  <w:style w:type="table" w:styleId="afffb">
    <w:name w:val="Table Grid"/>
    <w:basedOn w:val="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c">
    <w:name w:val="Table Theme"/>
    <w:basedOn w:val="a2"/>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spacing w:after="24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b">
    <w:name w:val="Table Colorful 2"/>
    <w:basedOn w:val="a2"/>
    <w:pPr>
      <w:spacing w:after="24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9">
    <w:name w:val="Table Colorful 3"/>
    <w:basedOn w:val="a2"/>
    <w:pPr>
      <w:spacing w:after="24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d">
    <w:name w:val="Table Elegant"/>
    <w:basedOn w:val="a2"/>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4">
    <w:name w:val="Table Classic 1"/>
    <w:basedOn w:val="a2"/>
    <w:pPr>
      <w:spacing w:after="24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Classic 2"/>
    <w:basedOn w:val="a2"/>
    <w:pPr>
      <w:spacing w:after="24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a">
    <w:name w:val="Table Classic 3"/>
    <w:basedOn w:val="a2"/>
    <w:pPr>
      <w:spacing w:after="24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5">
    <w:name w:val="Table Classic 4"/>
    <w:basedOn w:val="a2"/>
    <w:pPr>
      <w:spacing w:after="24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5">
    <w:name w:val="Table Simple 1"/>
    <w:basedOn w:val="a2"/>
    <w:pPr>
      <w:spacing w:after="24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d">
    <w:name w:val="Table Simple 2"/>
    <w:basedOn w:val="a2"/>
    <w:pPr>
      <w:spacing w:after="24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Simple 3"/>
    <w:basedOn w:val="a2"/>
    <w:pPr>
      <w:spacing w:after="24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6">
    <w:name w:val="Table Subtle 1"/>
    <w:basedOn w:val="a2"/>
    <w:pPr>
      <w:spacing w:after="24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Subtle 2"/>
    <w:basedOn w:val="a2"/>
    <w:pPr>
      <w:spacing w:after="24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3D effects 1"/>
    <w:basedOn w:val="a2"/>
    <w:pPr>
      <w:spacing w:after="24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
    <w:name w:val="Table 3D effects 2"/>
    <w:basedOn w:val="a2"/>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3D effects 3"/>
    <w:basedOn w:val="a2"/>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8">
    <w:name w:val="Table List 1"/>
    <w:basedOn w:val="a2"/>
    <w:pPr>
      <w:spacing w:after="24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0">
    <w:name w:val="Table List 2"/>
    <w:basedOn w:val="a2"/>
    <w:pPr>
      <w:spacing w:after="240"/>
      <w:jc w:val="both"/>
    </w:pPr>
    <w:tblPr>
      <w:tblStyleRowBandSize w:val="2"/>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List 3"/>
    <w:basedOn w:val="a2"/>
    <w:pPr>
      <w:spacing w:after="24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6">
    <w:name w:val="Table List 4"/>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5">
    <w:name w:val="Table List 5"/>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3">
    <w:name w:val="Table List 6"/>
    <w:basedOn w:val="a2"/>
    <w:pPr>
      <w:spacing w:after="24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List 7"/>
    <w:basedOn w:val="a2"/>
    <w:pPr>
      <w:spacing w:after="24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3">
    <w:name w:val="Table List 8"/>
    <w:basedOn w:val="a2"/>
    <w:pPr>
      <w:spacing w:after="24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e">
    <w:name w:val="Table Contemporary"/>
    <w:basedOn w:val="a2"/>
    <w:pPr>
      <w:spacing w:after="240"/>
      <w:jc w:val="both"/>
    </w:pPr>
    <w:tblPr>
      <w:tblStyleRowBandSize w:val="1"/>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9">
    <w:name w:val="Table Columns 1"/>
    <w:basedOn w:val="a2"/>
    <w:pPr>
      <w:spacing w:after="24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Columns 2"/>
    <w:basedOn w:val="a2"/>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Columns 3"/>
    <w:basedOn w:val="a2"/>
    <w:pPr>
      <w:spacing w:after="24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7">
    <w:name w:val="Table Columns 4"/>
    <w:basedOn w:val="a2"/>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2"/>
    <w:pPr>
      <w:spacing w:after="24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2">
    <w:name w:val="Table Grid 2"/>
    <w:basedOn w:val="a2"/>
    <w:pPr>
      <w:spacing w:after="24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
    <w:name w:val="Table Grid 3"/>
    <w:basedOn w:val="a2"/>
    <w:pPr>
      <w:spacing w:after="24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8">
    <w:name w:val="Table Grid 4"/>
    <w:basedOn w:val="a2"/>
    <w:pPr>
      <w:spacing w:after="24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7">
    <w:name w:val="Table Grid 5"/>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4">
    <w:name w:val="Table Grid 6"/>
    <w:basedOn w:val="a2"/>
    <w:pPr>
      <w:spacing w:after="24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4">
    <w:name w:val="Table Grid 7"/>
    <w:basedOn w:val="a2"/>
    <w:pPr>
      <w:spacing w:after="24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4">
    <w:name w:val="Table Grid 8"/>
    <w:basedOn w:val="a2"/>
    <w:pPr>
      <w:spacing w:after="24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b">
    <w:name w:val="Table Web 1"/>
    <w:basedOn w:val="a2"/>
    <w:pPr>
      <w:spacing w:after="240"/>
      <w:jc w:val="both"/>
    </w:p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3">
    <w:name w:val="Table Web 2"/>
    <w:basedOn w:val="a2"/>
    <w:pPr>
      <w:spacing w:after="240"/>
      <w:jc w:val="both"/>
    </w:p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0">
    <w:name w:val="Table Web 3"/>
    <w:basedOn w:val="a2"/>
    <w:pPr>
      <w:spacing w:after="240"/>
      <w:jc w:val="both"/>
    </w:p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
    <w:name w:val="Table Professional"/>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2">
    <w:name w:val="Light Shading Accent 2"/>
    <w:basedOn w:val="a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3">
    <w:name w:val="Light Shading Accent 3"/>
    <w:basedOn w:val="a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4">
    <w:name w:val="Light Shading Accent 4"/>
    <w:basedOn w:val="a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5">
    <w:name w:val="Light Shading Accent 5"/>
    <w:basedOn w:val="a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6">
    <w:name w:val="Light Shading Accent 6"/>
    <w:basedOn w:val="a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20">
    <w:name w:val="Light List Accent 2"/>
    <w:basedOn w:val="a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30">
    <w:name w:val="Light List Accent 3"/>
    <w:basedOn w:val="a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0">
    <w:name w:val="Light List Accent 4"/>
    <w:basedOn w:val="a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50">
    <w:name w:val="Light List Accent 5"/>
    <w:basedOn w:val="a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60">
    <w:name w:val="Light List Accent 6"/>
    <w:basedOn w:val="a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21">
    <w:name w:val="Light Grid Accent 2"/>
    <w:basedOn w:val="a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C0504D"/>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C0504D"/>
          <w:tl2br w:val="nil"/>
          <w:tr2bl w:val="nil"/>
        </w:tcBorders>
      </w:tcPr>
    </w:tblStylePr>
  </w:style>
  <w:style w:type="table" w:styleId="-31">
    <w:name w:val="Light Grid Accent 3"/>
    <w:basedOn w:val="a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tcPr>
    </w:tblStylePr>
  </w:style>
  <w:style w:type="table" w:styleId="-41">
    <w:name w:val="Light Grid Accent 4"/>
    <w:basedOn w:val="a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51">
    <w:name w:val="Light Grid Accent 5"/>
    <w:basedOn w:val="a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4BACC6"/>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4BACC6"/>
          <w:tl2br w:val="nil"/>
          <w:tr2bl w:val="nil"/>
        </w:tcBorders>
      </w:tcPr>
    </w:tblStylePr>
  </w:style>
  <w:style w:type="table" w:styleId="-61">
    <w:name w:val="Light Grid Accent 6"/>
    <w:basedOn w:val="a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F79646"/>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F79646"/>
          <w:tl2br w:val="nil"/>
          <w:tr2bl w:val="nil"/>
        </w:tcBorders>
      </w:tcPr>
    </w:tblStylePr>
  </w:style>
  <w:style w:type="table" w:styleId="1-2">
    <w:name w:val="Medium Shading 1 Accent 2"/>
    <w:basedOn w:val="a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1-3">
    <w:name w:val="Medium Shading 1 Accent 3"/>
    <w:basedOn w:val="a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1-4">
    <w:name w:val="Medium Shading 1 Accent 4"/>
    <w:basedOn w:val="a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1-5">
    <w:name w:val="Medium Shading 1 Accent 5"/>
    <w:basedOn w:val="a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1-6">
    <w:name w:val="Medium Shading 1 Accent 6"/>
    <w:basedOn w:val="a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2-2">
    <w:name w:val="Medium Shading 2 Accent 2"/>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3">
    <w:name w:val="Medium Shading 2 Accent 3"/>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4">
    <w:name w:val="Medium Shading 2 Accent 4"/>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5">
    <w:name w:val="Medium Shading 2 Accent 5"/>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6">
    <w:name w:val="Medium Shading 2 Accent 6"/>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20">
    <w:name w:val="Medium List 1 Accent 2"/>
    <w:basedOn w:val="a2"/>
    <w:rPr>
      <w:color w:val="00000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1-30">
    <w:name w:val="Medium List 1 Accent 3"/>
    <w:basedOn w:val="a2"/>
    <w:rPr>
      <w:color w:val="00000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1-40">
    <w:name w:val="Medium List 1 Accent 4"/>
    <w:basedOn w:val="a2"/>
    <w:rPr>
      <w:color w:val="00000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1-50">
    <w:name w:val="Medium List 1 Accent 5"/>
    <w:basedOn w:val="a2"/>
    <w:rPr>
      <w:color w:val="00000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2"/>
    <w:rPr>
      <w:color w:val="00000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2-1">
    <w:name w:val="Medium List 2 Accent 1"/>
    <w:basedOn w:val="a2"/>
    <w:rPr>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style>
  <w:style w:type="table" w:styleId="2-20">
    <w:name w:val="Medium List 2 Accent 2"/>
    <w:basedOn w:val="a2"/>
    <w:rPr>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style>
  <w:style w:type="table" w:styleId="2-30">
    <w:name w:val="Medium List 2 Accent 3"/>
    <w:basedOn w:val="a2"/>
    <w:rPr>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style>
  <w:style w:type="table" w:styleId="2-40">
    <w:name w:val="Medium List 2 Accent 4"/>
    <w:basedOn w:val="a2"/>
    <w:rPr>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style>
  <w:style w:type="table" w:styleId="2-50">
    <w:name w:val="Medium List 2 Accent 5"/>
    <w:basedOn w:val="a2"/>
    <w:rPr>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style>
  <w:style w:type="table" w:styleId="2-60">
    <w:name w:val="Medium List 2 Accent 6"/>
    <w:basedOn w:val="a2"/>
    <w:rPr>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style>
  <w:style w:type="table" w:styleId="1-1">
    <w:name w:val="Medium Grid 1 Accent 1"/>
    <w:basedOn w:val="a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1">
    <w:name w:val="Medium Grid 1 Accent 2"/>
    <w:basedOn w:val="a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31">
    <w:name w:val="Medium Grid 1 Accent 3"/>
    <w:basedOn w:val="a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41">
    <w:name w:val="Medium Grid 1 Accent 4"/>
    <w:basedOn w:val="a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51">
    <w:name w:val="Medium Grid 1 Accent 5"/>
    <w:basedOn w:val="a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1">
    <w:name w:val="Medium Grid 1 Accent 6"/>
    <w:basedOn w:val="a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10">
    <w:name w:val="Medium Grid 2 Accent 1"/>
    <w:basedOn w:val="a2"/>
    <w:rPr>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4F81BD"/>
          <w:insideV w:val="single" w:sz="6" w:space="0" w:color="4F81BD"/>
          <w:tl2br w:val="nil"/>
          <w:tr2bl w:val="nil"/>
        </w:tcBorders>
        <w:shd w:val="clear" w:color="auto" w:fill="A7BFDE"/>
      </w:tcPr>
    </w:tblStylePr>
    <w:tblStylePr w:type="nwCell">
      <w:tblPr/>
      <w:tcPr>
        <w:shd w:val="clear" w:color="auto" w:fill="FFFFFF"/>
      </w:tcPr>
    </w:tblStylePr>
  </w:style>
  <w:style w:type="table" w:styleId="2-21">
    <w:name w:val="Medium Grid 2 Accent 2"/>
    <w:basedOn w:val="a2"/>
    <w:rPr>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C0504D"/>
          <w:insideV w:val="single" w:sz="6" w:space="0" w:color="C0504D"/>
          <w:tl2br w:val="nil"/>
          <w:tr2bl w:val="nil"/>
        </w:tcBorders>
        <w:shd w:val="clear" w:color="auto" w:fill="DFA7A6"/>
      </w:tcPr>
    </w:tblStylePr>
    <w:tblStylePr w:type="nwCell">
      <w:tblPr/>
      <w:tcPr>
        <w:shd w:val="clear" w:color="auto" w:fill="FFFFFF"/>
      </w:tcPr>
    </w:tblStylePr>
  </w:style>
  <w:style w:type="table" w:styleId="2-31">
    <w:name w:val="Medium Grid 2 Accent 3"/>
    <w:basedOn w:val="a2"/>
    <w:rPr>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9BBB59"/>
          <w:insideV w:val="single" w:sz="6" w:space="0" w:color="9BBB59"/>
          <w:tl2br w:val="nil"/>
          <w:tr2bl w:val="nil"/>
        </w:tcBorders>
        <w:shd w:val="clear" w:color="auto" w:fill="CDDDAC"/>
      </w:tcPr>
    </w:tblStylePr>
    <w:tblStylePr w:type="nwCell">
      <w:tblPr/>
      <w:tcPr>
        <w:shd w:val="clear" w:color="auto" w:fill="FFFFFF"/>
      </w:tcPr>
    </w:tblStylePr>
  </w:style>
  <w:style w:type="table" w:styleId="2-41">
    <w:name w:val="Medium Grid 2 Accent 4"/>
    <w:basedOn w:val="a2"/>
    <w:rPr>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8064A2"/>
          <w:insideV w:val="single" w:sz="6" w:space="0" w:color="8064A2"/>
          <w:tl2br w:val="nil"/>
          <w:tr2bl w:val="nil"/>
        </w:tcBorders>
        <w:shd w:val="clear" w:color="auto" w:fill="BFB1D0"/>
      </w:tcPr>
    </w:tblStylePr>
    <w:tblStylePr w:type="nwCell">
      <w:tblPr/>
      <w:tcPr>
        <w:shd w:val="clear" w:color="auto" w:fill="FFFFFF"/>
      </w:tcPr>
    </w:tblStylePr>
  </w:style>
  <w:style w:type="table" w:styleId="2-51">
    <w:name w:val="Medium Grid 2 Accent 5"/>
    <w:basedOn w:val="a2"/>
    <w:rPr>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4BACC6"/>
          <w:insideV w:val="single" w:sz="6" w:space="0" w:color="4BACC6"/>
          <w:tl2br w:val="nil"/>
          <w:tr2bl w:val="nil"/>
        </w:tcBorders>
        <w:shd w:val="clear" w:color="auto" w:fill="A5D5E2"/>
      </w:tcPr>
    </w:tblStylePr>
    <w:tblStylePr w:type="nwCell">
      <w:tblPr/>
      <w:tcPr>
        <w:shd w:val="clear" w:color="auto" w:fill="FFFFFF"/>
      </w:tcPr>
    </w:tblStylePr>
  </w:style>
  <w:style w:type="table" w:styleId="2-61">
    <w:name w:val="Medium Grid 2 Accent 6"/>
    <w:basedOn w:val="a2"/>
    <w:rPr>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F79646"/>
          <w:insideV w:val="single" w:sz="6" w:space="0" w:color="F79646"/>
          <w:tl2br w:val="nil"/>
          <w:tr2bl w:val="nil"/>
        </w:tcBorders>
        <w:shd w:val="clear" w:color="auto" w:fill="FBCAA2"/>
      </w:tcPr>
    </w:tblStylePr>
    <w:tblStylePr w:type="nwCell">
      <w:tblPr/>
      <w:tcPr>
        <w:shd w:val="clear" w:color="auto" w:fill="FFFFFF"/>
      </w:tcPr>
    </w:tblStylePr>
  </w:style>
  <w:style w:type="table" w:styleId="3-1">
    <w:name w:val="Medium Grid 3 Accent 1"/>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A7BFDE"/>
      </w:tcPr>
    </w:tblStylePr>
  </w:style>
  <w:style w:type="table" w:styleId="3-2">
    <w:name w:val="Medium Grid 3 Accent 2"/>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DFA7A6"/>
      </w:tcPr>
    </w:tblStylePr>
  </w:style>
  <w:style w:type="table" w:styleId="3-3">
    <w:name w:val="Medium Grid 3 Accent 3"/>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CDDDAC"/>
      </w:tcPr>
    </w:tblStylePr>
  </w:style>
  <w:style w:type="table" w:styleId="3-4">
    <w:name w:val="Medium Grid 3 Accent 4"/>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BFB1D0"/>
      </w:tcPr>
    </w:tblStylePr>
  </w:style>
  <w:style w:type="table" w:styleId="3-5">
    <w:name w:val="Medium Grid 3 Accent 5"/>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A5D5E2"/>
      </w:tcPr>
    </w:tblStylePr>
  </w:style>
  <w:style w:type="table" w:styleId="3-6">
    <w:name w:val="Medium Grid 3 Accent 6"/>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FBCAA2"/>
      </w:tcPr>
    </w:tblStylePr>
  </w:style>
  <w:style w:type="table" w:styleId="-1">
    <w:name w:val="Dark List Accent 1"/>
    <w:basedOn w:val="a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22">
    <w:name w:val="Dark List Accent 2"/>
    <w:basedOn w:val="a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32">
    <w:name w:val="Dark List Accent 3"/>
    <w:basedOn w:val="a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42">
    <w:name w:val="Dark List Accent 4"/>
    <w:basedOn w:val="a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52">
    <w:name w:val="Dark List Accent 5"/>
    <w:basedOn w:val="a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62">
    <w:name w:val="Dark List Accent 6"/>
    <w:basedOn w:val="a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10">
    <w:name w:val="Colorful Shading Accent 1"/>
    <w:basedOn w:val="a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2C4C74"/>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
    <w:name w:val="Colorful Shading Accent 2"/>
    <w:basedOn w:val="a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772C2A"/>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33">
    <w:name w:val="Colorful Shading Accent 3"/>
    <w:basedOn w:val="a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5E7530"/>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43">
    <w:name w:val="Colorful Shading Accent 4"/>
    <w:basedOn w:val="a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4C3B62"/>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53">
    <w:name w:val="Colorful Shading Accent 5"/>
    <w:basedOn w:val="a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276A7C"/>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63">
    <w:name w:val="Colorful Shading Accent 6"/>
    <w:basedOn w:val="a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B65608"/>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11">
    <w:name w:val="Colorful List Accent 1"/>
    <w:basedOn w:val="a2"/>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24">
    <w:name w:val="Colorful List Accent 2"/>
    <w:basedOn w:val="a2"/>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34">
    <w:name w:val="Colorful List Accent 3"/>
    <w:basedOn w:val="a2"/>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44">
    <w:name w:val="Colorful List Accent 4"/>
    <w:basedOn w:val="a2"/>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54">
    <w:name w:val="Colorful List Accent 5"/>
    <w:basedOn w:val="a2"/>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64">
    <w:name w:val="Colorful List Accent 6"/>
    <w:basedOn w:val="a2"/>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12">
    <w:name w:val="Colorful Grid Accent 1"/>
    <w:basedOn w:val="a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5">
    <w:name w:val="Colorful Grid Accent 2"/>
    <w:basedOn w:val="a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5">
    <w:name w:val="Colorful Grid Accent 3"/>
    <w:basedOn w:val="a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45">
    <w:name w:val="Colorful Grid Accent 4"/>
    <w:basedOn w:val="a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55">
    <w:name w:val="Colorful Grid Accent 5"/>
    <w:basedOn w:val="a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65">
    <w:name w:val="Colorful Grid Accent 6"/>
    <w:basedOn w:val="a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affff0">
    <w:name w:val="Strong"/>
    <w:qFormat/>
    <w:rPr>
      <w:b/>
      <w:bCs/>
    </w:rPr>
  </w:style>
  <w:style w:type="character" w:styleId="affff1">
    <w:name w:val="endnote reference"/>
    <w:rPr>
      <w:rFonts w:ascii="Times New Roman" w:eastAsia="宋体" w:hAnsi="Times New Roman" w:cs="Simplified Arabic"/>
      <w:sz w:val="18"/>
      <w:szCs w:val="18"/>
      <w:vertAlign w:val="superscript"/>
      <w:lang w:val="en-GB" w:bidi="ar-AE"/>
    </w:rPr>
  </w:style>
  <w:style w:type="character" w:styleId="affff2">
    <w:name w:val="page number"/>
    <w:rPr>
      <w:rFonts w:ascii="Times New Roman" w:eastAsia="宋体" w:hAnsi="Times New Roman" w:cs="Simplified Arabic"/>
      <w:sz w:val="24"/>
      <w:szCs w:val="24"/>
      <w:lang w:val="en-GB" w:bidi="ar-AE"/>
    </w:rPr>
  </w:style>
  <w:style w:type="character" w:styleId="affff3">
    <w:name w:val="FollowedHyperlink"/>
    <w:rPr>
      <w:color w:val="800080"/>
      <w:u w:val="single"/>
    </w:rPr>
  </w:style>
  <w:style w:type="character" w:styleId="affff4">
    <w:name w:val="Emphasis"/>
    <w:qFormat/>
    <w:rPr>
      <w:i/>
      <w:iCs/>
    </w:rPr>
  </w:style>
  <w:style w:type="character" w:styleId="affff5">
    <w:name w:val="Hyperlink"/>
    <w:uiPriority w:val="99"/>
    <w:rPr>
      <w:color w:val="0000FF"/>
      <w:u w:val="single"/>
    </w:rPr>
  </w:style>
  <w:style w:type="character" w:styleId="affff6">
    <w:name w:val="annotation reference"/>
    <w:rPr>
      <w:rFonts w:ascii="Times New Roman" w:eastAsia="宋体" w:hAnsi="Times New Roman" w:cs="Simplified Arabic"/>
      <w:sz w:val="18"/>
      <w:szCs w:val="18"/>
      <w:lang w:val="en-GB" w:bidi="ar-AE"/>
    </w:rPr>
  </w:style>
  <w:style w:type="character" w:styleId="affff7">
    <w:name w:val="footnote reference"/>
    <w:rPr>
      <w:rFonts w:ascii="Times New Roman" w:eastAsia="宋体" w:hAnsi="Times New Roman" w:cs="Simplified Arabic"/>
      <w:sz w:val="18"/>
      <w:szCs w:val="18"/>
      <w:vertAlign w:val="superscript"/>
      <w:lang w:bidi="ar-AE"/>
    </w:rPr>
  </w:style>
  <w:style w:type="paragraph" w:customStyle="1" w:styleId="BodyText1">
    <w:name w:val="Body Text 1"/>
    <w:basedOn w:val="a"/>
    <w:pPr>
      <w:ind w:left="720"/>
    </w:pPr>
    <w:rPr>
      <w:lang w:eastAsia="en-GB"/>
    </w:rPr>
  </w:style>
  <w:style w:type="paragraph" w:customStyle="1" w:styleId="BodyText4">
    <w:name w:val="Body Text 4"/>
    <w:basedOn w:val="a"/>
    <w:pPr>
      <w:ind w:left="2880"/>
    </w:pPr>
    <w:rPr>
      <w:lang w:eastAsia="en-GB"/>
    </w:rPr>
  </w:style>
  <w:style w:type="paragraph" w:customStyle="1" w:styleId="BodyText5">
    <w:name w:val="Body Text 5"/>
    <w:basedOn w:val="a"/>
    <w:pPr>
      <w:ind w:left="3600"/>
    </w:pPr>
    <w:rPr>
      <w:lang w:eastAsia="en-GB"/>
    </w:rPr>
  </w:style>
  <w:style w:type="paragraph" w:customStyle="1" w:styleId="BodyText6">
    <w:name w:val="Body Text 6"/>
    <w:basedOn w:val="a"/>
    <w:pPr>
      <w:ind w:left="4320"/>
    </w:pPr>
    <w:rPr>
      <w:lang w:eastAsia="en-GB"/>
    </w:rPr>
  </w:style>
  <w:style w:type="paragraph" w:customStyle="1" w:styleId="BodyText7">
    <w:name w:val="Body Text 7"/>
    <w:basedOn w:val="a"/>
    <w:pPr>
      <w:ind w:left="5041"/>
    </w:pPr>
    <w:rPr>
      <w:lang w:eastAsia="en-GB"/>
    </w:rPr>
  </w:style>
  <w:style w:type="paragraph" w:customStyle="1" w:styleId="FooterRight">
    <w:name w:val="Footer Right"/>
    <w:basedOn w:val="aff4"/>
    <w:pPr>
      <w:jc w:val="right"/>
    </w:pPr>
  </w:style>
  <w:style w:type="paragraph" w:customStyle="1" w:styleId="Footnote">
    <w:name w:val="Footnote"/>
    <w:basedOn w:val="afff"/>
    <w:pPr>
      <w:tabs>
        <w:tab w:val="left" w:pos="340"/>
      </w:tabs>
    </w:pPr>
  </w:style>
  <w:style w:type="paragraph" w:styleId="affff8">
    <w:name w:val="List Paragraph"/>
    <w:basedOn w:val="a"/>
    <w:uiPriority w:val="34"/>
    <w:qFormat/>
    <w:pPr>
      <w:ind w:left="720"/>
      <w:contextualSpacing/>
    </w:pPr>
  </w:style>
  <w:style w:type="paragraph" w:styleId="affff9">
    <w:name w:val="No Spacing"/>
    <w:basedOn w:val="a"/>
    <w:qFormat/>
    <w:pPr>
      <w:spacing w:after="0"/>
    </w:pPr>
  </w:style>
  <w:style w:type="paragraph" w:customStyle="1" w:styleId="NormalBold">
    <w:name w:val="NormalBold"/>
    <w:basedOn w:val="a"/>
    <w:next w:val="a"/>
    <w:rPr>
      <w:b/>
      <w:bCs/>
    </w:rPr>
  </w:style>
  <w:style w:type="paragraph" w:customStyle="1" w:styleId="NormalBoldNS">
    <w:name w:val="NormalBoldNS"/>
    <w:basedOn w:val="a"/>
    <w:next w:val="a"/>
    <w:pPr>
      <w:spacing w:after="0"/>
      <w:jc w:val="left"/>
    </w:pPr>
    <w:rPr>
      <w:b/>
      <w:bCs/>
    </w:rPr>
  </w:style>
  <w:style w:type="paragraph" w:customStyle="1" w:styleId="NormalNS">
    <w:name w:val="NormalNS"/>
    <w:basedOn w:val="a"/>
    <w:pPr>
      <w:spacing w:after="0"/>
    </w:pPr>
  </w:style>
  <w:style w:type="paragraph" w:customStyle="1" w:styleId="NormalRight">
    <w:name w:val="NormalRight"/>
    <w:basedOn w:val="NormalNS"/>
    <w:pPr>
      <w:jc w:val="right"/>
    </w:pPr>
  </w:style>
  <w:style w:type="paragraph" w:customStyle="1" w:styleId="NoteContinuation">
    <w:name w:val="Note Continuation"/>
    <w:basedOn w:val="a"/>
    <w:pPr>
      <w:spacing w:after="120"/>
      <w:ind w:left="340"/>
    </w:pPr>
    <w:rPr>
      <w:sz w:val="20"/>
      <w:szCs w:val="20"/>
    </w:rPr>
  </w:style>
  <w:style w:type="paragraph" w:styleId="TOC">
    <w:name w:val="TOC Heading"/>
    <w:basedOn w:val="a"/>
    <w:next w:val="a"/>
    <w:qFormat/>
    <w:pPr>
      <w:jc w:val="center"/>
    </w:pPr>
    <w:rPr>
      <w:b/>
      <w:bCs/>
      <w:caps/>
    </w:rPr>
  </w:style>
  <w:style w:type="paragraph" w:customStyle="1" w:styleId="BGHStandard">
    <w:name w:val="BGH Standard"/>
    <w:basedOn w:val="a"/>
    <w:pPr>
      <w:ind w:left="1985"/>
    </w:pPr>
    <w:rPr>
      <w:lang w:eastAsia="en-GB"/>
    </w:rPr>
  </w:style>
  <w:style w:type="paragraph" w:customStyle="1" w:styleId="NormalRight12">
    <w:name w:val="NormalRight12"/>
    <w:basedOn w:val="NormalRight"/>
    <w:pPr>
      <w:spacing w:after="240"/>
    </w:pPr>
  </w:style>
  <w:style w:type="paragraph" w:customStyle="1" w:styleId="SubTitle0">
    <w:name w:val="SubTitle0"/>
    <w:basedOn w:val="affc"/>
    <w:pPr>
      <w:spacing w:after="0"/>
    </w:pPr>
  </w:style>
  <w:style w:type="paragraph" w:customStyle="1" w:styleId="OptionLabel">
    <w:name w:val="OptionLabel"/>
    <w:rPr>
      <w:b/>
      <w:bCs/>
      <w:sz w:val="24"/>
      <w:szCs w:val="24"/>
      <w:lang w:val="en-GB" w:bidi="ar-AE"/>
    </w:rPr>
  </w:style>
  <w:style w:type="paragraph" w:customStyle="1" w:styleId="NormalLeft0">
    <w:name w:val="NormalLeft"/>
    <w:basedOn w:val="a"/>
    <w:next w:val="a"/>
    <w:pPr>
      <w:jc w:val="left"/>
    </w:pPr>
  </w:style>
  <w:style w:type="paragraph" w:styleId="affffa">
    <w:name w:val="Bibliography"/>
    <w:basedOn w:val="a"/>
    <w:next w:val="a"/>
  </w:style>
  <w:style w:type="table" w:customStyle="1" w:styleId="ColorfulGrid1">
    <w:name w:val="Colorful Grid1"/>
    <w:basedOn w:val="a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1">
    <w:name w:val="Colorful List1"/>
    <w:basedOn w:val="a2"/>
    <w:rPr>
      <w:color w:val="000000"/>
    </w:rPr>
    <w:tblPr>
      <w:tblStyleRowBandSize w:val="1"/>
      <w:tblStyleColBandSize w:val="1"/>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CCCCC"/>
      </w:tcPr>
    </w:tblStylePr>
  </w:style>
  <w:style w:type="table" w:customStyle="1" w:styleId="ColorfulShading1">
    <w:name w:val="Colorful Shading1"/>
    <w:basedOn w:val="a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000000"/>
          <w:insideV w:val="nil"/>
          <w:tl2br w:val="nil"/>
          <w:tr2bl w:val="nil"/>
        </w:tcBorders>
        <w:shd w:val="clear" w:color="auto" w:fill="000000"/>
      </w:tcPr>
    </w:tblStylePr>
    <w:tblStylePr w:type="lastCol">
      <w:rPr>
        <w:color w:val="FFFFFF"/>
      </w:rPr>
      <w:tblPr/>
      <w:tcPr>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1">
    <w:name w:val="Dark List1"/>
    <w:basedOn w:val="a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shd w:val="clear" w:color="auto" w:fill="000000"/>
      </w:tcPr>
    </w:tblStylePr>
    <w:tblStylePr w:type="band1Horz">
      <w:tblPr/>
      <w:tcPr>
        <w:shd w:val="clear" w:color="auto" w:fill="000000"/>
      </w:tcPr>
    </w:tblStylePr>
  </w:style>
  <w:style w:type="paragraph" w:styleId="affffb">
    <w:name w:val="Intense Quote"/>
    <w:basedOn w:val="a"/>
    <w:next w:val="a"/>
    <w:link w:val="affffc"/>
    <w:qFormat/>
    <w:pPr>
      <w:pBdr>
        <w:bottom w:val="single" w:sz="4" w:space="4" w:color="4F81BD"/>
      </w:pBdr>
      <w:spacing w:before="200" w:after="280"/>
      <w:ind w:left="936" w:right="936"/>
    </w:pPr>
    <w:rPr>
      <w:rFonts w:cs="Simplified Arabic"/>
      <w:b/>
      <w:bCs/>
      <w:i/>
      <w:iCs/>
      <w:color w:val="4F81BD"/>
    </w:rPr>
  </w:style>
  <w:style w:type="character" w:customStyle="1" w:styleId="affffc">
    <w:name w:val="明显引用 字符"/>
    <w:link w:val="affffb"/>
    <w:rPr>
      <w:b/>
      <w:bCs/>
      <w:i/>
      <w:iCs/>
      <w:color w:val="4F81BD"/>
      <w:sz w:val="24"/>
      <w:szCs w:val="24"/>
      <w:lang w:bidi="ar-AE"/>
    </w:rPr>
  </w:style>
  <w:style w:type="table" w:customStyle="1" w:styleId="LightGrid1">
    <w:name w:val="Light Grid1"/>
    <w:basedOn w:val="a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tcPr>
    </w:tblStylePr>
  </w:style>
  <w:style w:type="table" w:customStyle="1" w:styleId="LightGrid-Accent11">
    <w:name w:val="Light Grid - Accent 11"/>
    <w:basedOn w:val="a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tcPr>
    </w:tblStylePr>
  </w:style>
  <w:style w:type="table" w:customStyle="1" w:styleId="LightList1">
    <w:name w:val="Light List1"/>
    <w:basedOn w:val="a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a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Shading1">
    <w:name w:val="Light Shading1"/>
    <w:basedOn w:val="a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LightShading-Accent11">
    <w:name w:val="Light Shading - Accent 11"/>
    <w:basedOn w:val="a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Grid11">
    <w:name w:val="Medium Grid 11"/>
    <w:basedOn w:val="a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a2"/>
    <w:rPr>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000000"/>
          <w:insideV w:val="single" w:sz="6" w:space="0" w:color="000000"/>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808080"/>
      </w:tcPr>
    </w:tblStylePr>
  </w:style>
  <w:style w:type="table" w:customStyle="1" w:styleId="MediumList11">
    <w:name w:val="Medium List 11"/>
    <w:basedOn w:val="a2"/>
    <w:rPr>
      <w:color w:val="00000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a2"/>
    <w:rPr>
      <w:color w:val="00000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a2"/>
    <w:rPr>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shd w:val="clear" w:color="auto" w:fill="C0C0C0"/>
      </w:tcPr>
    </w:tblStylePr>
    <w:tblStylePr w:type="band1Horz">
      <w:tblPr/>
      <w:tcPr>
        <w:shd w:val="clear" w:color="auto" w:fill="C0C0C0"/>
      </w:tcPr>
    </w:tblStylePr>
    <w:tblStylePr w:type="nwCell">
      <w:tblPr/>
      <w:tcPr>
        <w:shd w:val="clear" w:color="auto" w:fill="FFFFFF"/>
      </w:tcPr>
    </w:tblStylePr>
  </w:style>
  <w:style w:type="table" w:customStyle="1" w:styleId="MediumShading11">
    <w:name w:val="Medium Shading 11"/>
    <w:basedOn w:val="a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MediumShading1-Accent11">
    <w:name w:val="Medium Shading 1 - Accent 11"/>
    <w:basedOn w:val="a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Shading21">
    <w:name w:val="Medium Shading 21"/>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shd w:val="clear" w:color="auto" w:fill="000000"/>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shd w:val="clear" w:color="auto" w:fill="4F81B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paragraph" w:styleId="affffd">
    <w:name w:val="Quote"/>
    <w:basedOn w:val="a"/>
    <w:next w:val="a"/>
    <w:link w:val="affffe"/>
    <w:qFormat/>
    <w:rPr>
      <w:rFonts w:cs="Simplified Arabic"/>
      <w:i/>
      <w:iCs/>
      <w:color w:val="000000"/>
    </w:rPr>
  </w:style>
  <w:style w:type="character" w:customStyle="1" w:styleId="affffe">
    <w:name w:val="引用 字符"/>
    <w:link w:val="affffd"/>
    <w:rPr>
      <w:i/>
      <w:iCs/>
      <w:color w:val="000000"/>
      <w:sz w:val="24"/>
      <w:szCs w:val="24"/>
      <w:lang w:bidi="ar-AE"/>
    </w:rPr>
  </w:style>
  <w:style w:type="paragraph" w:customStyle="1" w:styleId="StandardL9">
    <w:name w:val="Standard L9"/>
    <w:basedOn w:val="a"/>
    <w:next w:val="32"/>
    <w:link w:val="StandardL9Char"/>
    <w:pPr>
      <w:numPr>
        <w:ilvl w:val="8"/>
        <w:numId w:val="1"/>
      </w:numPr>
      <w:tabs>
        <w:tab w:val="left" w:pos="2160"/>
      </w:tabs>
      <w:outlineLvl w:val="8"/>
    </w:pPr>
    <w:rPr>
      <w:rFonts w:cs="Simplified Arabic"/>
    </w:rPr>
  </w:style>
  <w:style w:type="character" w:customStyle="1" w:styleId="StandardL9Char">
    <w:name w:val="Standard L9 Char"/>
    <w:link w:val="StandardL9"/>
    <w:rPr>
      <w:sz w:val="24"/>
      <w:szCs w:val="24"/>
      <w:lang w:bidi="ar-AE"/>
    </w:rPr>
  </w:style>
  <w:style w:type="paragraph" w:customStyle="1" w:styleId="StandardL8">
    <w:name w:val="Standard L8"/>
    <w:basedOn w:val="a"/>
    <w:next w:val="25"/>
    <w:link w:val="StandardL8Char"/>
    <w:pPr>
      <w:numPr>
        <w:ilvl w:val="7"/>
        <w:numId w:val="1"/>
      </w:numPr>
      <w:tabs>
        <w:tab w:val="left" w:pos="1440"/>
      </w:tabs>
      <w:outlineLvl w:val="7"/>
    </w:pPr>
    <w:rPr>
      <w:rFonts w:cs="Simplified Arabic"/>
    </w:rPr>
  </w:style>
  <w:style w:type="character" w:customStyle="1" w:styleId="StandardL8Char">
    <w:name w:val="Standard L8 Char"/>
    <w:link w:val="StandardL8"/>
    <w:rPr>
      <w:sz w:val="24"/>
      <w:szCs w:val="24"/>
      <w:lang w:bidi="ar-AE"/>
    </w:rPr>
  </w:style>
  <w:style w:type="paragraph" w:customStyle="1" w:styleId="StandardL7">
    <w:name w:val="Standard L7"/>
    <w:basedOn w:val="a"/>
    <w:next w:val="BodyText6"/>
    <w:link w:val="StandardL7Char"/>
    <w:pPr>
      <w:numPr>
        <w:ilvl w:val="6"/>
        <w:numId w:val="1"/>
      </w:numPr>
      <w:tabs>
        <w:tab w:val="left" w:pos="4320"/>
      </w:tabs>
      <w:outlineLvl w:val="6"/>
    </w:pPr>
    <w:rPr>
      <w:rFonts w:cs="Simplified Arabic"/>
    </w:rPr>
  </w:style>
  <w:style w:type="character" w:customStyle="1" w:styleId="StandardL7Char">
    <w:name w:val="Standard L7 Char"/>
    <w:link w:val="StandardL7"/>
    <w:rPr>
      <w:sz w:val="24"/>
      <w:szCs w:val="24"/>
      <w:lang w:bidi="ar-AE"/>
    </w:rPr>
  </w:style>
  <w:style w:type="paragraph" w:customStyle="1" w:styleId="StandardL6">
    <w:name w:val="Standard L6"/>
    <w:basedOn w:val="a"/>
    <w:next w:val="BodyText5"/>
    <w:link w:val="StandardL6Char"/>
    <w:pPr>
      <w:numPr>
        <w:ilvl w:val="5"/>
        <w:numId w:val="1"/>
      </w:numPr>
      <w:tabs>
        <w:tab w:val="left" w:pos="3600"/>
      </w:tabs>
      <w:outlineLvl w:val="5"/>
    </w:pPr>
    <w:rPr>
      <w:rFonts w:cs="Simplified Arabic"/>
    </w:rPr>
  </w:style>
  <w:style w:type="character" w:customStyle="1" w:styleId="StandardL6Char">
    <w:name w:val="Standard L6 Char"/>
    <w:link w:val="StandardL6"/>
    <w:rPr>
      <w:sz w:val="24"/>
      <w:szCs w:val="24"/>
      <w:lang w:bidi="ar-AE"/>
    </w:rPr>
  </w:style>
  <w:style w:type="paragraph" w:customStyle="1" w:styleId="StandardL5">
    <w:name w:val="Standard L5"/>
    <w:basedOn w:val="a"/>
    <w:next w:val="BodyText4"/>
    <w:link w:val="StandardL5Char"/>
    <w:pPr>
      <w:numPr>
        <w:ilvl w:val="4"/>
        <w:numId w:val="1"/>
      </w:numPr>
      <w:tabs>
        <w:tab w:val="left" w:pos="2880"/>
      </w:tabs>
      <w:outlineLvl w:val="4"/>
    </w:pPr>
    <w:rPr>
      <w:rFonts w:cs="Simplified Arabic"/>
    </w:rPr>
  </w:style>
  <w:style w:type="character" w:customStyle="1" w:styleId="StandardL5Char">
    <w:name w:val="Standard L5 Char"/>
    <w:link w:val="StandardL5"/>
    <w:rPr>
      <w:sz w:val="24"/>
      <w:szCs w:val="24"/>
      <w:lang w:bidi="ar-AE"/>
    </w:rPr>
  </w:style>
  <w:style w:type="paragraph" w:customStyle="1" w:styleId="BulletL9">
    <w:name w:val="Bullet L9"/>
    <w:basedOn w:val="a"/>
    <w:link w:val="BulletL9Char"/>
    <w:pPr>
      <w:numPr>
        <w:ilvl w:val="8"/>
        <w:numId w:val="2"/>
      </w:numPr>
      <w:tabs>
        <w:tab w:val="left" w:pos="0"/>
      </w:tabs>
      <w:outlineLvl w:val="8"/>
    </w:pPr>
    <w:rPr>
      <w:rFonts w:cs="Simplified Arabic"/>
    </w:rPr>
  </w:style>
  <w:style w:type="character" w:customStyle="1" w:styleId="BulletL9Char">
    <w:name w:val="Bullet L9 Char"/>
    <w:link w:val="BulletL9"/>
    <w:rPr>
      <w:sz w:val="24"/>
      <w:szCs w:val="24"/>
      <w:lang w:bidi="ar-AE"/>
    </w:rPr>
  </w:style>
  <w:style w:type="paragraph" w:customStyle="1" w:styleId="BulletL8">
    <w:name w:val="Bullet L8"/>
    <w:basedOn w:val="a"/>
    <w:link w:val="BulletL8Char"/>
    <w:pPr>
      <w:numPr>
        <w:ilvl w:val="7"/>
        <w:numId w:val="2"/>
      </w:numPr>
      <w:tabs>
        <w:tab w:val="left" w:pos="0"/>
      </w:tabs>
      <w:outlineLvl w:val="7"/>
    </w:pPr>
    <w:rPr>
      <w:rFonts w:cs="Simplified Arabic"/>
    </w:rPr>
  </w:style>
  <w:style w:type="character" w:customStyle="1" w:styleId="BulletL8Char">
    <w:name w:val="Bullet L8 Char"/>
    <w:link w:val="BulletL8"/>
    <w:rPr>
      <w:sz w:val="24"/>
      <w:szCs w:val="24"/>
      <w:lang w:bidi="ar-AE"/>
    </w:rPr>
  </w:style>
  <w:style w:type="paragraph" w:customStyle="1" w:styleId="BulletL7">
    <w:name w:val="Bullet L7"/>
    <w:basedOn w:val="a"/>
    <w:link w:val="BulletL7Char"/>
    <w:pPr>
      <w:numPr>
        <w:ilvl w:val="6"/>
        <w:numId w:val="2"/>
      </w:numPr>
      <w:tabs>
        <w:tab w:val="left" w:pos="5040"/>
      </w:tabs>
      <w:outlineLvl w:val="6"/>
    </w:pPr>
    <w:rPr>
      <w:rFonts w:cs="Simplified Arabic"/>
    </w:rPr>
  </w:style>
  <w:style w:type="character" w:customStyle="1" w:styleId="BulletL7Char">
    <w:name w:val="Bullet L7 Char"/>
    <w:link w:val="BulletL7"/>
    <w:rPr>
      <w:sz w:val="24"/>
      <w:szCs w:val="24"/>
      <w:lang w:bidi="ar-AE"/>
    </w:rPr>
  </w:style>
  <w:style w:type="paragraph" w:customStyle="1" w:styleId="BulletL6">
    <w:name w:val="Bullet L6"/>
    <w:basedOn w:val="a"/>
    <w:link w:val="BulletL6Char"/>
    <w:pPr>
      <w:numPr>
        <w:ilvl w:val="5"/>
        <w:numId w:val="2"/>
      </w:numPr>
      <w:tabs>
        <w:tab w:val="left" w:pos="4320"/>
      </w:tabs>
      <w:outlineLvl w:val="5"/>
    </w:pPr>
    <w:rPr>
      <w:rFonts w:cs="Simplified Arabic"/>
    </w:rPr>
  </w:style>
  <w:style w:type="character" w:customStyle="1" w:styleId="BulletL6Char">
    <w:name w:val="Bullet L6 Char"/>
    <w:link w:val="BulletL6"/>
    <w:rPr>
      <w:sz w:val="24"/>
      <w:szCs w:val="24"/>
      <w:lang w:bidi="ar-AE"/>
    </w:rPr>
  </w:style>
  <w:style w:type="paragraph" w:customStyle="1" w:styleId="BulletL5">
    <w:name w:val="Bullet L5"/>
    <w:basedOn w:val="a"/>
    <w:link w:val="BulletL5Char"/>
    <w:pPr>
      <w:numPr>
        <w:ilvl w:val="4"/>
        <w:numId w:val="2"/>
      </w:numPr>
      <w:tabs>
        <w:tab w:val="left" w:pos="3600"/>
      </w:tabs>
      <w:outlineLvl w:val="4"/>
    </w:pPr>
    <w:rPr>
      <w:rFonts w:cs="Simplified Arabic"/>
    </w:rPr>
  </w:style>
  <w:style w:type="character" w:customStyle="1" w:styleId="BulletL5Char">
    <w:name w:val="Bullet L5 Char"/>
    <w:link w:val="BulletL5"/>
    <w:rPr>
      <w:sz w:val="24"/>
      <w:szCs w:val="24"/>
      <w:lang w:bidi="ar-AE"/>
    </w:rPr>
  </w:style>
  <w:style w:type="paragraph" w:customStyle="1" w:styleId="BulletL4">
    <w:name w:val="Bullet L4"/>
    <w:basedOn w:val="a"/>
    <w:link w:val="BulletL4Char"/>
    <w:pPr>
      <w:numPr>
        <w:ilvl w:val="3"/>
        <w:numId w:val="2"/>
      </w:numPr>
      <w:tabs>
        <w:tab w:val="left" w:pos="2880"/>
      </w:tabs>
      <w:outlineLvl w:val="3"/>
    </w:pPr>
    <w:rPr>
      <w:rFonts w:cs="Simplified Arabic"/>
    </w:rPr>
  </w:style>
  <w:style w:type="character" w:customStyle="1" w:styleId="BulletL4Char">
    <w:name w:val="Bullet L4 Char"/>
    <w:link w:val="BulletL4"/>
    <w:rPr>
      <w:sz w:val="24"/>
      <w:szCs w:val="24"/>
      <w:lang w:bidi="ar-AE"/>
    </w:rPr>
  </w:style>
  <w:style w:type="paragraph" w:customStyle="1" w:styleId="BulletL3">
    <w:name w:val="Bullet L3"/>
    <w:basedOn w:val="a"/>
    <w:link w:val="BulletL3Char"/>
    <w:pPr>
      <w:numPr>
        <w:ilvl w:val="2"/>
        <w:numId w:val="2"/>
      </w:numPr>
      <w:tabs>
        <w:tab w:val="left" w:pos="2160"/>
      </w:tabs>
      <w:outlineLvl w:val="2"/>
    </w:pPr>
    <w:rPr>
      <w:rFonts w:cs="Simplified Arabic"/>
    </w:rPr>
  </w:style>
  <w:style w:type="character" w:customStyle="1" w:styleId="BulletL3Char">
    <w:name w:val="Bullet L3 Char"/>
    <w:link w:val="BulletL3"/>
    <w:rPr>
      <w:sz w:val="24"/>
      <w:szCs w:val="24"/>
      <w:lang w:bidi="ar-AE"/>
    </w:rPr>
  </w:style>
  <w:style w:type="paragraph" w:customStyle="1" w:styleId="BulletL2">
    <w:name w:val="Bullet L2"/>
    <w:basedOn w:val="a"/>
    <w:link w:val="BulletL2Char"/>
    <w:pPr>
      <w:numPr>
        <w:ilvl w:val="1"/>
        <w:numId w:val="2"/>
      </w:numPr>
      <w:tabs>
        <w:tab w:val="left" w:pos="1440"/>
      </w:tabs>
      <w:outlineLvl w:val="1"/>
    </w:pPr>
    <w:rPr>
      <w:rFonts w:cs="Simplified Arabic"/>
    </w:rPr>
  </w:style>
  <w:style w:type="character" w:customStyle="1" w:styleId="BulletL2Char">
    <w:name w:val="Bullet L2 Char"/>
    <w:link w:val="BulletL2"/>
    <w:rPr>
      <w:sz w:val="24"/>
      <w:szCs w:val="24"/>
      <w:lang w:bidi="ar-AE"/>
    </w:rPr>
  </w:style>
  <w:style w:type="paragraph" w:customStyle="1" w:styleId="BulletL1">
    <w:name w:val="Bullet L1"/>
    <w:basedOn w:val="a"/>
    <w:link w:val="BulletL1Char"/>
    <w:pPr>
      <w:numPr>
        <w:numId w:val="2"/>
      </w:numPr>
      <w:tabs>
        <w:tab w:val="left" w:pos="720"/>
      </w:tabs>
      <w:outlineLvl w:val="0"/>
    </w:pPr>
    <w:rPr>
      <w:rFonts w:cs="Simplified Arabic"/>
    </w:rPr>
  </w:style>
  <w:style w:type="character" w:customStyle="1" w:styleId="BulletL1Char">
    <w:name w:val="Bullet L1 Char"/>
    <w:link w:val="BulletL1"/>
    <w:rPr>
      <w:sz w:val="24"/>
      <w:szCs w:val="24"/>
      <w:lang w:bidi="ar-AE"/>
    </w:rPr>
  </w:style>
  <w:style w:type="paragraph" w:customStyle="1" w:styleId="StandardL4">
    <w:name w:val="Standard L4"/>
    <w:basedOn w:val="a"/>
    <w:next w:val="32"/>
    <w:link w:val="StandardL4Char"/>
    <w:pPr>
      <w:numPr>
        <w:ilvl w:val="3"/>
        <w:numId w:val="1"/>
      </w:numPr>
      <w:tabs>
        <w:tab w:val="left" w:pos="2160"/>
      </w:tabs>
      <w:outlineLvl w:val="3"/>
    </w:pPr>
    <w:rPr>
      <w:rFonts w:cs="Simplified Arabic"/>
    </w:rPr>
  </w:style>
  <w:style w:type="character" w:customStyle="1" w:styleId="StandardL4Char">
    <w:name w:val="Standard L4 Char"/>
    <w:link w:val="StandardL4"/>
    <w:rPr>
      <w:sz w:val="24"/>
      <w:szCs w:val="24"/>
      <w:lang w:bidi="ar-AE"/>
    </w:rPr>
  </w:style>
  <w:style w:type="paragraph" w:customStyle="1" w:styleId="StandardL3">
    <w:name w:val="Standard L3"/>
    <w:basedOn w:val="a"/>
    <w:next w:val="25"/>
    <w:link w:val="StandardL3Char"/>
    <w:pPr>
      <w:numPr>
        <w:ilvl w:val="2"/>
        <w:numId w:val="1"/>
      </w:numPr>
      <w:tabs>
        <w:tab w:val="left" w:pos="1440"/>
      </w:tabs>
      <w:outlineLvl w:val="2"/>
    </w:pPr>
    <w:rPr>
      <w:rFonts w:cs="Simplified Arabic"/>
    </w:rPr>
  </w:style>
  <w:style w:type="character" w:customStyle="1" w:styleId="StandardL3Char">
    <w:name w:val="Standard L3 Char"/>
    <w:link w:val="StandardL3"/>
    <w:rPr>
      <w:sz w:val="24"/>
      <w:szCs w:val="24"/>
      <w:lang w:bidi="ar-AE"/>
    </w:rPr>
  </w:style>
  <w:style w:type="paragraph" w:customStyle="1" w:styleId="StandardL2">
    <w:name w:val="Standard L2"/>
    <w:basedOn w:val="a"/>
    <w:next w:val="BodyText1"/>
    <w:link w:val="StandardL2Char"/>
    <w:pPr>
      <w:numPr>
        <w:ilvl w:val="1"/>
        <w:numId w:val="1"/>
      </w:numPr>
      <w:tabs>
        <w:tab w:val="left" w:pos="720"/>
      </w:tabs>
      <w:outlineLvl w:val="1"/>
    </w:pPr>
    <w:rPr>
      <w:rFonts w:cs="Simplified Arabic"/>
    </w:rPr>
  </w:style>
  <w:style w:type="character" w:customStyle="1" w:styleId="StandardL2Char">
    <w:name w:val="Standard L2 Char"/>
    <w:link w:val="StandardL2"/>
    <w:rPr>
      <w:sz w:val="24"/>
      <w:szCs w:val="24"/>
      <w:lang w:bidi="ar-AE"/>
    </w:rPr>
  </w:style>
  <w:style w:type="paragraph" w:customStyle="1" w:styleId="StandardL1">
    <w:name w:val="Standard L1"/>
    <w:basedOn w:val="a"/>
    <w:next w:val="BodyText1"/>
    <w:link w:val="StandardL1Char"/>
    <w:pPr>
      <w:keepNext/>
      <w:numPr>
        <w:numId w:val="1"/>
      </w:numPr>
      <w:tabs>
        <w:tab w:val="left" w:pos="720"/>
      </w:tabs>
      <w:suppressAutoHyphens/>
      <w:jc w:val="left"/>
      <w:outlineLvl w:val="0"/>
    </w:pPr>
    <w:rPr>
      <w:rFonts w:cs="Simplified Arabic"/>
      <w:b/>
      <w:caps/>
    </w:rPr>
  </w:style>
  <w:style w:type="character" w:customStyle="1" w:styleId="StandardL1Char">
    <w:name w:val="Standard L1 Char"/>
    <w:link w:val="StandardL1"/>
    <w:rPr>
      <w:b/>
      <w:caps/>
      <w:sz w:val="24"/>
      <w:szCs w:val="24"/>
      <w:lang w:bidi="ar-AE"/>
    </w:rPr>
  </w:style>
  <w:style w:type="paragraph" w:customStyle="1" w:styleId="Bullet1">
    <w:name w:val="Bullet 1"/>
    <w:qFormat/>
    <w:pPr>
      <w:spacing w:before="240" w:line="260" w:lineRule="atLeast"/>
      <w:jc w:val="both"/>
    </w:pPr>
    <w:rPr>
      <w:rFonts w:eastAsia="Calibri"/>
      <w:sz w:val="22"/>
      <w:szCs w:val="22"/>
      <w:lang w:val="en-GB" w:eastAsia="en-US"/>
    </w:rPr>
  </w:style>
  <w:style w:type="paragraph" w:customStyle="1" w:styleId="NormalLeft">
    <w:name w:val="Normal + Left"/>
    <w:basedOn w:val="Bullet1"/>
    <w:pPr>
      <w:numPr>
        <w:numId w:val="3"/>
      </w:numPr>
      <w:spacing w:before="0"/>
    </w:pPr>
    <w:rPr>
      <w:rFonts w:eastAsia="仿宋_GB2312"/>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Template>
  <TotalTime>6</TotalTime>
  <Pages>2</Pages>
  <Words>190</Words>
  <Characters>1086</Characters>
  <Application>Microsoft Office Word</Application>
  <DocSecurity>0</DocSecurity>
  <Lines>9</Lines>
  <Paragraphs>2</Paragraphs>
  <ScaleCrop>false</ScaleCrop>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KWM</dc:creator>
  <cp:keywords/>
  <cp:lastModifiedBy>King &amp; Wood Mallesons</cp:lastModifiedBy>
  <cp:revision>4</cp:revision>
  <cp:lastPrinted>2023-03-02T09:36:00Z</cp:lastPrinted>
  <dcterms:created xsi:type="dcterms:W3CDTF">2023-03-02T09:44:00Z</dcterms:created>
  <dcterms:modified xsi:type="dcterms:W3CDTF">2023-03-03T02:22:00Z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