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line="440" w:lineRule="exact"/>
        <w:jc w:val="center"/>
        <w:rPr>
          <w:rFonts w:ascii="黑体" w:hAnsi="黑体" w:eastAsia="黑体"/>
          <w:sz w:val="36"/>
          <w:szCs w:val="36"/>
        </w:rPr>
      </w:pPr>
      <w:bookmarkStart w:id="0" w:name="_GoBack"/>
      <w:bookmarkEnd w:id="0"/>
      <w:r>
        <w:rPr>
          <w:rFonts w:ascii="黑体" w:hAnsi="黑体" w:eastAsia="黑体"/>
          <w:sz w:val="36"/>
          <w:szCs w:val="36"/>
        </w:rPr>
        <w:t>经营者集中简易案件公示表</w:t>
      </w:r>
    </w:p>
    <w:tbl>
      <w:tblPr>
        <w:tblStyle w:val="9"/>
        <w:tblW w:w="87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796"/>
        <w:gridCol w:w="5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shd w:val="clear" w:color="auto" w:fill="D9D9D9"/>
            <w:vAlign w:val="center"/>
          </w:tcPr>
          <w:p>
            <w:pPr>
              <w:jc w:val="center"/>
              <w:rPr>
                <w:rFonts w:ascii="宋体" w:hAnsi="宋体" w:eastAsia="宋体"/>
                <w:sz w:val="24"/>
              </w:rPr>
            </w:pPr>
            <w:r>
              <w:rPr>
                <w:rFonts w:ascii="宋体" w:hAnsi="宋体" w:eastAsia="宋体"/>
                <w:sz w:val="24"/>
              </w:rPr>
              <w:t>案件名称</w:t>
            </w:r>
          </w:p>
        </w:tc>
        <w:tc>
          <w:tcPr>
            <w:tcW w:w="6949" w:type="dxa"/>
            <w:gridSpan w:val="2"/>
          </w:tcPr>
          <w:p>
            <w:pPr>
              <w:pStyle w:val="2"/>
              <w:numPr>
                <w:ilvl w:val="0"/>
                <w:numId w:val="0"/>
              </w:numPr>
              <w:spacing w:before="156" w:beforeLines="50" w:after="156" w:afterLines="50" w:line="360" w:lineRule="auto"/>
              <w:jc w:val="both"/>
              <w:rPr>
                <w:rFonts w:ascii="宋体" w:hAnsi="宋体" w:eastAsia="宋体"/>
                <w:sz w:val="24"/>
              </w:rPr>
            </w:pPr>
            <w:r>
              <w:rPr>
                <w:rFonts w:hint="eastAsia" w:ascii="宋体" w:hAnsi="宋体" w:eastAsia="宋体"/>
                <w:bCs w:val="0"/>
                <w:kern w:val="2"/>
                <w:sz w:val="24"/>
                <w:szCs w:val="24"/>
                <w:lang w:eastAsia="zh-Hans"/>
              </w:rPr>
              <w:t>上海信飞企业管理中心</w:t>
            </w:r>
            <w:r>
              <w:rPr>
                <w:rFonts w:hint="eastAsia" w:ascii="宋体" w:hAnsi="宋体" w:eastAsia="宋体"/>
                <w:sz w:val="24"/>
              </w:rPr>
              <w:t>（有限合伙）收购明珠数字科技股份有限公司股权案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9" w:hRule="atLeast"/>
        </w:trPr>
        <w:tc>
          <w:tcPr>
            <w:tcW w:w="1809" w:type="dxa"/>
            <w:shd w:val="clear" w:color="auto" w:fill="D9D9D9"/>
            <w:vAlign w:val="center"/>
          </w:tcPr>
          <w:p>
            <w:pPr>
              <w:rPr>
                <w:rFonts w:ascii="宋体" w:hAnsi="宋体" w:eastAsia="宋体"/>
                <w:sz w:val="24"/>
              </w:rPr>
            </w:pPr>
            <w:r>
              <w:rPr>
                <w:rFonts w:ascii="宋体" w:hAnsi="宋体" w:eastAsia="宋体"/>
                <w:sz w:val="24"/>
              </w:rPr>
              <w:t>交易概况（限200字内）</w:t>
            </w:r>
          </w:p>
        </w:tc>
        <w:tc>
          <w:tcPr>
            <w:tcW w:w="6949" w:type="dxa"/>
            <w:gridSpan w:val="2"/>
          </w:tcPr>
          <w:p>
            <w:pPr>
              <w:pStyle w:val="2"/>
              <w:numPr>
                <w:ilvl w:val="0"/>
                <w:numId w:val="0"/>
              </w:numPr>
              <w:spacing w:before="156" w:beforeLines="50" w:after="156" w:afterLines="50" w:line="360" w:lineRule="auto"/>
              <w:jc w:val="both"/>
              <w:rPr>
                <w:rFonts w:ascii="宋体" w:hAnsi="宋体" w:eastAsia="宋体"/>
                <w:bCs w:val="0"/>
                <w:kern w:val="2"/>
                <w:sz w:val="24"/>
                <w:szCs w:val="24"/>
                <w:lang w:eastAsia="zh-Hans"/>
              </w:rPr>
            </w:pPr>
            <w:r>
              <w:rPr>
                <w:rFonts w:hint="eastAsia" w:ascii="宋体" w:hAnsi="宋体" w:eastAsia="宋体"/>
                <w:bCs w:val="0"/>
                <w:kern w:val="2"/>
                <w:sz w:val="24"/>
                <w:szCs w:val="24"/>
                <w:lang w:eastAsia="zh-Hans"/>
              </w:rPr>
              <w:t>明珠数字科技股份有限公司（“</w:t>
            </w:r>
            <w:r>
              <w:rPr>
                <w:rFonts w:hint="eastAsia" w:ascii="宋体" w:hAnsi="宋体" w:eastAsia="宋体"/>
                <w:b/>
                <w:kern w:val="2"/>
                <w:sz w:val="24"/>
                <w:szCs w:val="24"/>
                <w:lang w:eastAsia="zh-Hans"/>
              </w:rPr>
              <w:t>明珠数科</w:t>
            </w:r>
            <w:r>
              <w:rPr>
                <w:rFonts w:hint="eastAsia" w:ascii="宋体" w:hAnsi="宋体" w:eastAsia="宋体"/>
                <w:bCs w:val="0"/>
                <w:kern w:val="2"/>
                <w:sz w:val="24"/>
                <w:szCs w:val="24"/>
                <w:lang w:eastAsia="zh-Hans"/>
              </w:rPr>
              <w:t>”）、中国南航集团资本控股有限公司（“</w:t>
            </w:r>
            <w:r>
              <w:rPr>
                <w:rFonts w:hint="eastAsia" w:ascii="宋体" w:hAnsi="宋体" w:eastAsia="宋体"/>
                <w:b/>
                <w:kern w:val="2"/>
                <w:sz w:val="24"/>
                <w:szCs w:val="24"/>
                <w:lang w:eastAsia="zh-Hans"/>
              </w:rPr>
              <w:t>南航资本</w:t>
            </w:r>
            <w:r>
              <w:rPr>
                <w:rFonts w:hint="eastAsia" w:ascii="宋体" w:hAnsi="宋体" w:eastAsia="宋体"/>
                <w:bCs w:val="0"/>
                <w:kern w:val="2"/>
                <w:sz w:val="24"/>
                <w:szCs w:val="24"/>
                <w:lang w:eastAsia="zh-Hans"/>
              </w:rPr>
              <w:t>”）、海南信杰明珠企业管理中心（有限合伙）（“</w:t>
            </w:r>
            <w:r>
              <w:rPr>
                <w:rFonts w:hint="eastAsia" w:ascii="宋体" w:hAnsi="宋体" w:eastAsia="宋体"/>
                <w:b/>
                <w:kern w:val="2"/>
                <w:sz w:val="24"/>
                <w:szCs w:val="24"/>
                <w:lang w:eastAsia="zh-Hans"/>
              </w:rPr>
              <w:t>信杰明珠</w:t>
            </w:r>
            <w:r>
              <w:rPr>
                <w:rFonts w:hint="eastAsia" w:ascii="宋体" w:hAnsi="宋体" w:eastAsia="宋体"/>
                <w:bCs w:val="0"/>
                <w:kern w:val="2"/>
                <w:sz w:val="24"/>
                <w:szCs w:val="24"/>
                <w:lang w:eastAsia="zh-Hans"/>
              </w:rPr>
              <w:t>”）与上海信飞企业管理中心（有限合伙）（“</w:t>
            </w:r>
            <w:r>
              <w:rPr>
                <w:rFonts w:hint="eastAsia" w:ascii="宋体" w:hAnsi="宋体" w:eastAsia="宋体"/>
                <w:b/>
                <w:kern w:val="2"/>
                <w:sz w:val="24"/>
                <w:szCs w:val="24"/>
                <w:lang w:eastAsia="zh-Hans"/>
              </w:rPr>
              <w:t>上海信飞</w:t>
            </w:r>
            <w:r>
              <w:rPr>
                <w:rFonts w:hint="eastAsia" w:ascii="宋体" w:hAnsi="宋体" w:eastAsia="宋体"/>
                <w:bCs w:val="0"/>
                <w:kern w:val="2"/>
                <w:sz w:val="24"/>
                <w:szCs w:val="24"/>
                <w:lang w:eastAsia="zh-Hans"/>
              </w:rPr>
              <w:t>”）等签署协议约定：上海信飞、海南信林企业管理合伙企业（有限合伙）和重庆卡帕思特网络科技有限公司分别收购明珠数科2</w:t>
            </w:r>
            <w:r>
              <w:rPr>
                <w:rFonts w:ascii="宋体" w:hAnsi="宋体" w:eastAsia="宋体"/>
                <w:bCs w:val="0"/>
                <w:kern w:val="2"/>
                <w:sz w:val="24"/>
                <w:szCs w:val="24"/>
                <w:lang w:eastAsia="zh-Hans"/>
              </w:rPr>
              <w:t>1%</w:t>
            </w:r>
            <w:r>
              <w:rPr>
                <w:rFonts w:hint="eastAsia" w:ascii="宋体" w:hAnsi="宋体" w:eastAsia="宋体"/>
                <w:bCs w:val="0"/>
                <w:kern w:val="2"/>
                <w:sz w:val="24"/>
                <w:szCs w:val="24"/>
                <w:lang w:eastAsia="zh-Hans"/>
              </w:rPr>
              <w:t>、1</w:t>
            </w:r>
            <w:r>
              <w:rPr>
                <w:rFonts w:ascii="宋体" w:hAnsi="宋体" w:eastAsia="宋体"/>
                <w:bCs w:val="0"/>
                <w:kern w:val="2"/>
                <w:sz w:val="24"/>
                <w:szCs w:val="24"/>
                <w:lang w:eastAsia="zh-Hans"/>
              </w:rPr>
              <w:t>5.5%</w:t>
            </w:r>
            <w:r>
              <w:rPr>
                <w:rFonts w:hint="eastAsia" w:ascii="宋体" w:hAnsi="宋体" w:eastAsia="宋体"/>
                <w:bCs w:val="0"/>
                <w:kern w:val="2"/>
                <w:sz w:val="24"/>
                <w:szCs w:val="24"/>
                <w:lang w:eastAsia="zh-Hans"/>
              </w:rPr>
              <w:t>和1</w:t>
            </w:r>
            <w:r>
              <w:rPr>
                <w:rFonts w:ascii="宋体" w:hAnsi="宋体" w:eastAsia="宋体"/>
                <w:bCs w:val="0"/>
                <w:kern w:val="2"/>
                <w:sz w:val="24"/>
                <w:szCs w:val="24"/>
                <w:lang w:eastAsia="zh-Hans"/>
              </w:rPr>
              <w:t>3.5%</w:t>
            </w:r>
            <w:r>
              <w:rPr>
                <w:rFonts w:hint="eastAsia" w:ascii="宋体" w:hAnsi="宋体" w:eastAsia="宋体"/>
                <w:bCs w:val="0"/>
                <w:kern w:val="2"/>
                <w:sz w:val="24"/>
                <w:szCs w:val="24"/>
                <w:lang w:eastAsia="zh-Hans"/>
              </w:rPr>
              <w:t>的股权。交易前，南航资本、信杰明珠和天津信飞明珠数字科技合伙企业（有限合伙）分别持有明珠数科4</w:t>
            </w:r>
            <w:r>
              <w:rPr>
                <w:rFonts w:ascii="宋体" w:hAnsi="宋体" w:eastAsia="宋体"/>
                <w:bCs w:val="0"/>
                <w:kern w:val="2"/>
                <w:sz w:val="24"/>
                <w:szCs w:val="24"/>
                <w:lang w:eastAsia="zh-Hans"/>
              </w:rPr>
              <w:t>5%</w:t>
            </w:r>
            <w:r>
              <w:rPr>
                <w:rFonts w:hint="eastAsia" w:ascii="宋体" w:hAnsi="宋体" w:eastAsia="宋体"/>
                <w:bCs w:val="0"/>
                <w:kern w:val="2"/>
                <w:sz w:val="24"/>
                <w:szCs w:val="24"/>
                <w:lang w:eastAsia="zh-Hans"/>
              </w:rPr>
              <w:t>、4</w:t>
            </w:r>
            <w:r>
              <w:rPr>
                <w:rFonts w:ascii="宋体" w:hAnsi="宋体" w:eastAsia="宋体"/>
                <w:bCs w:val="0"/>
                <w:kern w:val="2"/>
                <w:sz w:val="24"/>
                <w:szCs w:val="24"/>
                <w:lang w:eastAsia="zh-Hans"/>
              </w:rPr>
              <w:t>0%</w:t>
            </w:r>
            <w:r>
              <w:rPr>
                <w:rFonts w:hint="eastAsia" w:ascii="宋体" w:hAnsi="宋体" w:eastAsia="宋体"/>
                <w:bCs w:val="0"/>
                <w:kern w:val="2"/>
                <w:sz w:val="24"/>
                <w:szCs w:val="24"/>
                <w:lang w:eastAsia="zh-Hans"/>
              </w:rPr>
              <w:t>和1</w:t>
            </w:r>
            <w:r>
              <w:rPr>
                <w:rFonts w:ascii="宋体" w:hAnsi="宋体" w:eastAsia="宋体"/>
                <w:bCs w:val="0"/>
                <w:kern w:val="2"/>
                <w:sz w:val="24"/>
                <w:szCs w:val="24"/>
                <w:lang w:eastAsia="zh-Hans"/>
              </w:rPr>
              <w:t>5%</w:t>
            </w:r>
            <w:r>
              <w:rPr>
                <w:rFonts w:hint="eastAsia" w:ascii="宋体" w:hAnsi="宋体" w:eastAsia="宋体"/>
                <w:bCs w:val="0"/>
                <w:kern w:val="2"/>
                <w:sz w:val="24"/>
                <w:szCs w:val="24"/>
                <w:lang w:eastAsia="zh-Hans"/>
              </w:rPr>
              <w:t>的股权。南航资本和信杰明珠共同控制明珠数科。交易后，南航资本、上海信飞、信杰明珠、海南信林企业管理合伙企业（有限合伙）、重庆卡帕思特网络科技有限公司与天津信飞明珠数字科技合伙企业（有限合伙）分别持有明珠数科2</w:t>
            </w:r>
            <w:r>
              <w:rPr>
                <w:rFonts w:ascii="宋体" w:hAnsi="宋体" w:eastAsia="宋体"/>
                <w:bCs w:val="0"/>
                <w:kern w:val="2"/>
                <w:sz w:val="24"/>
                <w:szCs w:val="24"/>
                <w:lang w:eastAsia="zh-Hans"/>
              </w:rPr>
              <w:t>2.5%</w:t>
            </w:r>
            <w:r>
              <w:rPr>
                <w:rFonts w:hint="eastAsia" w:ascii="宋体" w:hAnsi="宋体" w:eastAsia="宋体"/>
                <w:bCs w:val="0"/>
                <w:kern w:val="2"/>
                <w:sz w:val="24"/>
                <w:szCs w:val="24"/>
                <w:lang w:eastAsia="zh-Hans"/>
              </w:rPr>
              <w:t>、2</w:t>
            </w:r>
            <w:r>
              <w:rPr>
                <w:rFonts w:ascii="宋体" w:hAnsi="宋体" w:eastAsia="宋体"/>
                <w:bCs w:val="0"/>
                <w:kern w:val="2"/>
                <w:sz w:val="24"/>
                <w:szCs w:val="24"/>
                <w:lang w:eastAsia="zh-Hans"/>
              </w:rPr>
              <w:t>1%</w:t>
            </w:r>
            <w:r>
              <w:rPr>
                <w:rFonts w:hint="eastAsia" w:ascii="宋体" w:hAnsi="宋体" w:eastAsia="宋体"/>
                <w:bCs w:val="0"/>
                <w:kern w:val="2"/>
                <w:sz w:val="24"/>
                <w:szCs w:val="24"/>
                <w:lang w:eastAsia="zh-Hans"/>
              </w:rPr>
              <w:t>、2</w:t>
            </w:r>
            <w:r>
              <w:rPr>
                <w:rFonts w:ascii="宋体" w:hAnsi="宋体" w:eastAsia="宋体"/>
                <w:bCs w:val="0"/>
                <w:kern w:val="2"/>
                <w:sz w:val="24"/>
                <w:szCs w:val="24"/>
                <w:lang w:eastAsia="zh-Hans"/>
              </w:rPr>
              <w:t>0%</w:t>
            </w:r>
            <w:r>
              <w:rPr>
                <w:rFonts w:hint="eastAsia" w:ascii="宋体" w:hAnsi="宋体" w:eastAsia="宋体"/>
                <w:bCs w:val="0"/>
                <w:kern w:val="2"/>
                <w:sz w:val="24"/>
                <w:szCs w:val="24"/>
                <w:lang w:eastAsia="zh-Hans"/>
              </w:rPr>
              <w:t>、1</w:t>
            </w:r>
            <w:r>
              <w:rPr>
                <w:rFonts w:ascii="宋体" w:hAnsi="宋体" w:eastAsia="宋体"/>
                <w:bCs w:val="0"/>
                <w:kern w:val="2"/>
                <w:sz w:val="24"/>
                <w:szCs w:val="24"/>
                <w:lang w:eastAsia="zh-Hans"/>
              </w:rPr>
              <w:t>5.5%</w:t>
            </w:r>
            <w:r>
              <w:rPr>
                <w:rFonts w:hint="eastAsia" w:ascii="宋体" w:hAnsi="宋体" w:eastAsia="宋体"/>
                <w:bCs w:val="0"/>
                <w:kern w:val="2"/>
                <w:sz w:val="24"/>
                <w:szCs w:val="24"/>
                <w:lang w:eastAsia="zh-Hans"/>
              </w:rPr>
              <w:t>、1</w:t>
            </w:r>
            <w:r>
              <w:rPr>
                <w:rFonts w:ascii="宋体" w:hAnsi="宋体" w:eastAsia="宋体"/>
                <w:bCs w:val="0"/>
                <w:kern w:val="2"/>
                <w:sz w:val="24"/>
                <w:szCs w:val="24"/>
                <w:lang w:eastAsia="zh-Hans"/>
              </w:rPr>
              <w:t>3.5%</w:t>
            </w:r>
            <w:r>
              <w:rPr>
                <w:rFonts w:hint="eastAsia" w:ascii="宋体" w:hAnsi="宋体" w:eastAsia="宋体"/>
                <w:bCs w:val="0"/>
                <w:kern w:val="2"/>
                <w:sz w:val="24"/>
                <w:szCs w:val="24"/>
                <w:lang w:eastAsia="zh-Hans"/>
              </w:rPr>
              <w:t>和7</w:t>
            </w:r>
            <w:r>
              <w:rPr>
                <w:rFonts w:ascii="宋体" w:hAnsi="宋体" w:eastAsia="宋体"/>
                <w:bCs w:val="0"/>
                <w:kern w:val="2"/>
                <w:sz w:val="24"/>
                <w:szCs w:val="24"/>
                <w:lang w:eastAsia="zh-Hans"/>
              </w:rPr>
              <w:t>.5%</w:t>
            </w:r>
            <w:r>
              <w:rPr>
                <w:rFonts w:hint="eastAsia" w:ascii="宋体" w:hAnsi="宋体" w:eastAsia="宋体"/>
                <w:bCs w:val="0"/>
                <w:kern w:val="2"/>
                <w:sz w:val="24"/>
                <w:szCs w:val="24"/>
                <w:lang w:eastAsia="zh-Hans"/>
              </w:rPr>
              <w:t>的股权。南航资本、上海信飞和信杰明珠共同控制明珠数科。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5" w:hRule="exact"/>
        </w:trPr>
        <w:tc>
          <w:tcPr>
            <w:tcW w:w="1809" w:type="dxa"/>
            <w:vMerge w:val="restart"/>
            <w:shd w:val="clear" w:color="auto" w:fill="D9D9D9"/>
            <w:vAlign w:val="center"/>
          </w:tcPr>
          <w:p>
            <w:pPr>
              <w:rPr>
                <w:rFonts w:ascii="宋体" w:hAnsi="宋体" w:eastAsia="宋体"/>
                <w:sz w:val="24"/>
              </w:rPr>
            </w:pPr>
            <w:r>
              <w:rPr>
                <w:rFonts w:ascii="宋体" w:hAnsi="宋体" w:eastAsia="宋体"/>
                <w:sz w:val="24"/>
              </w:rPr>
              <w:t>参与集中的经营者简介</w:t>
            </w:r>
            <w:r>
              <w:rPr>
                <w:rFonts w:hint="eastAsia" w:ascii="宋体" w:hAnsi="宋体" w:eastAsia="宋体" w:cs="宋体"/>
                <w:bCs/>
                <w:color w:val="000000"/>
                <w:sz w:val="24"/>
                <w:lang w:val="en-GB"/>
              </w:rPr>
              <w:t>（每个限</w:t>
            </w:r>
            <w:r>
              <w:rPr>
                <w:rFonts w:hint="eastAsia" w:ascii="宋体" w:hAnsi="宋体" w:eastAsia="宋体" w:cs="宋体"/>
                <w:bCs/>
                <w:color w:val="000000"/>
                <w:sz w:val="24"/>
              </w:rPr>
              <w:t>100字以内</w:t>
            </w:r>
            <w:r>
              <w:rPr>
                <w:rFonts w:hint="eastAsia" w:ascii="宋体" w:hAnsi="宋体" w:eastAsia="宋体" w:cs="宋体"/>
                <w:bCs/>
                <w:color w:val="000000"/>
                <w:sz w:val="24"/>
                <w:lang w:val="en-GB"/>
              </w:rPr>
              <w:t>）</w:t>
            </w:r>
          </w:p>
        </w:tc>
        <w:tc>
          <w:tcPr>
            <w:tcW w:w="1796" w:type="dxa"/>
            <w:vAlign w:val="center"/>
          </w:tcPr>
          <w:p>
            <w:pPr>
              <w:pStyle w:val="12"/>
              <w:numPr>
                <w:ilvl w:val="0"/>
                <w:numId w:val="2"/>
              </w:numPr>
              <w:spacing w:before="156" w:beforeLines="50" w:after="156" w:afterLines="50" w:line="360" w:lineRule="auto"/>
              <w:ind w:firstLineChars="0"/>
              <w:jc w:val="center"/>
              <w:rPr>
                <w:rFonts w:ascii="宋体" w:hAnsi="宋体" w:eastAsia="宋体"/>
                <w:sz w:val="24"/>
              </w:rPr>
            </w:pPr>
            <w:r>
              <w:rPr>
                <w:rFonts w:hint="eastAsia" w:ascii="宋体" w:hAnsi="宋体" w:eastAsia="宋体"/>
                <w:sz w:val="24"/>
              </w:rPr>
              <w:t>明珠数科</w:t>
            </w:r>
          </w:p>
        </w:tc>
        <w:tc>
          <w:tcPr>
            <w:tcW w:w="5153" w:type="dxa"/>
          </w:tcPr>
          <w:p>
            <w:pPr>
              <w:widowControl/>
              <w:snapToGrid w:val="0"/>
              <w:spacing w:before="156" w:beforeLines="50" w:after="156" w:afterLines="50" w:line="360" w:lineRule="auto"/>
              <w:rPr>
                <w:rFonts w:ascii="宋体" w:hAnsi="宋体" w:eastAsia="宋体" w:cs="宋体"/>
                <w:sz w:val="24"/>
              </w:rPr>
            </w:pPr>
            <w:r>
              <w:rPr>
                <w:rFonts w:hint="eastAsia" w:ascii="宋体" w:hAnsi="宋体" w:eastAsia="宋体" w:cs="宋体"/>
                <w:sz w:val="24"/>
              </w:rPr>
              <w:t>明珠数科于</w:t>
            </w:r>
            <w:r>
              <w:rPr>
                <w:rFonts w:ascii="宋体" w:hAnsi="宋体" w:eastAsia="宋体" w:cs="宋体"/>
                <w:sz w:val="24"/>
              </w:rPr>
              <w:t>2020</w:t>
            </w:r>
            <w:r>
              <w:rPr>
                <w:rFonts w:hint="eastAsia" w:ascii="宋体" w:hAnsi="宋体" w:eastAsia="宋体" w:cs="宋体"/>
                <w:sz w:val="24"/>
              </w:rPr>
              <w:t>年</w:t>
            </w:r>
            <w:r>
              <w:rPr>
                <w:rFonts w:ascii="宋体" w:hAnsi="宋体" w:eastAsia="宋体" w:cs="宋体"/>
                <w:sz w:val="24"/>
              </w:rPr>
              <w:t>12</w:t>
            </w:r>
            <w:r>
              <w:rPr>
                <w:rFonts w:hint="eastAsia" w:ascii="宋体" w:hAnsi="宋体" w:eastAsia="宋体" w:cs="宋体"/>
                <w:sz w:val="24"/>
              </w:rPr>
              <w:t>月</w:t>
            </w:r>
            <w:r>
              <w:rPr>
                <w:rFonts w:ascii="宋体" w:hAnsi="宋体" w:eastAsia="宋体" w:cs="宋体"/>
                <w:sz w:val="24"/>
              </w:rPr>
              <w:t>11</w:t>
            </w:r>
            <w:r>
              <w:rPr>
                <w:rFonts w:hint="eastAsia" w:ascii="宋体" w:hAnsi="宋体" w:eastAsia="宋体" w:cs="宋体"/>
                <w:sz w:val="24"/>
              </w:rPr>
              <w:t>日成立于中国广东省，主要业务为供应链金融和消费金融领域提供金融科技服务。</w:t>
            </w:r>
          </w:p>
          <w:p>
            <w:pPr>
              <w:widowControl/>
              <w:snapToGrid w:val="0"/>
              <w:spacing w:before="156" w:beforeLines="50" w:after="156" w:afterLines="50" w:line="360" w:lineRule="auto"/>
              <w:rPr>
                <w:rFonts w:ascii="宋体" w:hAnsi="宋体" w:eastAsia="宋体"/>
                <w:sz w:val="24"/>
              </w:rPr>
            </w:pPr>
            <w:r>
              <w:rPr>
                <w:rFonts w:hint="eastAsia" w:ascii="宋体" w:hAnsi="宋体" w:eastAsia="宋体"/>
                <w:sz w:val="24"/>
              </w:rPr>
              <w:t>明珠数科的最终控制人为中国南方航空集团有限公司（“</w:t>
            </w:r>
            <w:r>
              <w:rPr>
                <w:rFonts w:hint="eastAsia" w:ascii="宋体" w:hAnsi="宋体" w:eastAsia="宋体"/>
                <w:b/>
                <w:bCs/>
                <w:sz w:val="24"/>
              </w:rPr>
              <w:t>南航集团</w:t>
            </w:r>
            <w:r>
              <w:rPr>
                <w:rFonts w:hint="eastAsia" w:ascii="宋体" w:hAnsi="宋体" w:eastAsia="宋体"/>
                <w:sz w:val="24"/>
              </w:rPr>
              <w:t>”）和自然人。南航集团主要业务为通过其控股的中国南方航空股份有限公司从事航空运输服务。自然人的主要业务为技术服务开发、电子产品销售、日用百货以及基础电信业务。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8" w:hRule="exact"/>
        </w:trPr>
        <w:tc>
          <w:tcPr>
            <w:tcW w:w="1809" w:type="dxa"/>
            <w:vMerge w:val="continue"/>
            <w:shd w:val="clear" w:color="auto" w:fill="D9D9D9"/>
          </w:tcPr>
          <w:p>
            <w:pPr>
              <w:rPr>
                <w:rFonts w:ascii="宋体" w:hAnsi="宋体" w:eastAsia="宋体"/>
                <w:sz w:val="24"/>
              </w:rPr>
            </w:pPr>
          </w:p>
        </w:tc>
        <w:tc>
          <w:tcPr>
            <w:tcW w:w="1796" w:type="dxa"/>
            <w:vAlign w:val="center"/>
          </w:tcPr>
          <w:p>
            <w:pPr>
              <w:pStyle w:val="12"/>
              <w:numPr>
                <w:ilvl w:val="0"/>
                <w:numId w:val="2"/>
              </w:numPr>
              <w:spacing w:before="156" w:beforeLines="50" w:after="156" w:afterLines="50" w:line="360" w:lineRule="auto"/>
              <w:ind w:firstLineChars="0"/>
              <w:jc w:val="center"/>
              <w:rPr>
                <w:rFonts w:ascii="宋体" w:hAnsi="宋体" w:eastAsia="宋体"/>
                <w:sz w:val="24"/>
              </w:rPr>
            </w:pPr>
            <w:r>
              <w:rPr>
                <w:rFonts w:hint="eastAsia" w:ascii="宋体" w:hAnsi="宋体" w:eastAsia="宋体"/>
                <w:sz w:val="24"/>
                <w:lang w:eastAsia="zh-Hans"/>
              </w:rPr>
              <w:t>南航资本</w:t>
            </w:r>
          </w:p>
        </w:tc>
        <w:tc>
          <w:tcPr>
            <w:tcW w:w="5153" w:type="dxa"/>
          </w:tcPr>
          <w:p>
            <w:pPr>
              <w:snapToGrid w:val="0"/>
              <w:spacing w:before="156" w:beforeLines="50" w:after="156" w:afterLines="50" w:line="360" w:lineRule="auto"/>
              <w:rPr>
                <w:rFonts w:ascii="宋体" w:hAnsi="宋体" w:eastAsia="宋体"/>
                <w:sz w:val="24"/>
              </w:rPr>
            </w:pPr>
            <w:r>
              <w:rPr>
                <w:rFonts w:hint="eastAsia" w:ascii="宋体" w:hAnsi="宋体" w:eastAsia="宋体"/>
                <w:sz w:val="24"/>
                <w:lang w:eastAsia="zh-Hans"/>
              </w:rPr>
              <w:t>南航资本于</w:t>
            </w:r>
            <w:r>
              <w:rPr>
                <w:rFonts w:ascii="宋体" w:hAnsi="宋体" w:eastAsia="宋体"/>
                <w:sz w:val="24"/>
                <w:lang w:eastAsia="zh-Hans"/>
              </w:rPr>
              <w:t>2017</w:t>
            </w:r>
            <w:r>
              <w:rPr>
                <w:rFonts w:hint="eastAsia" w:ascii="宋体" w:hAnsi="宋体" w:eastAsia="宋体"/>
                <w:sz w:val="24"/>
                <w:lang w:eastAsia="zh-Hans"/>
              </w:rPr>
              <w:t>年</w:t>
            </w:r>
            <w:r>
              <w:rPr>
                <w:rFonts w:ascii="宋体" w:hAnsi="宋体" w:eastAsia="宋体"/>
                <w:sz w:val="24"/>
                <w:lang w:eastAsia="zh-Hans"/>
              </w:rPr>
              <w:t>6</w:t>
            </w:r>
            <w:r>
              <w:rPr>
                <w:rFonts w:hint="eastAsia" w:ascii="宋体" w:hAnsi="宋体" w:eastAsia="宋体"/>
                <w:sz w:val="24"/>
                <w:lang w:eastAsia="zh-Hans"/>
              </w:rPr>
              <w:t>月</w:t>
            </w:r>
            <w:r>
              <w:rPr>
                <w:rFonts w:ascii="宋体" w:hAnsi="宋体" w:eastAsia="宋体"/>
                <w:sz w:val="24"/>
                <w:lang w:eastAsia="zh-Hans"/>
              </w:rPr>
              <w:t>8</w:t>
            </w:r>
            <w:r>
              <w:rPr>
                <w:rFonts w:hint="eastAsia" w:ascii="宋体" w:hAnsi="宋体" w:eastAsia="宋体"/>
                <w:sz w:val="24"/>
                <w:lang w:eastAsia="zh-Hans"/>
              </w:rPr>
              <w:t>日成立于中国广东省</w:t>
            </w:r>
            <w:r>
              <w:rPr>
                <w:rFonts w:ascii="宋体" w:hAnsi="宋体" w:eastAsia="宋体"/>
                <w:sz w:val="24"/>
                <w:lang w:eastAsia="zh-Hans"/>
              </w:rPr>
              <w:t>，</w:t>
            </w:r>
            <w:r>
              <w:rPr>
                <w:rFonts w:hint="eastAsia" w:ascii="宋体" w:hAnsi="宋体" w:eastAsia="宋体"/>
                <w:sz w:val="24"/>
                <w:lang w:eastAsia="zh-Hans"/>
              </w:rPr>
              <w:t>主要业务为</w:t>
            </w:r>
            <w:r>
              <w:rPr>
                <w:rFonts w:hint="eastAsia" w:ascii="宋体" w:hAnsi="宋体" w:eastAsia="宋体"/>
                <w:sz w:val="24"/>
              </w:rPr>
              <w:t>股权投资，投资管理服务和投资咨询、投资服务</w:t>
            </w:r>
            <w:r>
              <w:rPr>
                <w:rFonts w:hint="eastAsia" w:ascii="宋体" w:hAnsi="宋体" w:eastAsia="宋体"/>
                <w:sz w:val="24"/>
                <w:lang w:eastAsia="zh-Hans"/>
              </w:rPr>
              <w:t>等</w:t>
            </w:r>
            <w:r>
              <w:rPr>
                <w:rFonts w:hint="eastAsia" w:ascii="宋体" w:hAnsi="宋体" w:eastAsia="宋体"/>
                <w:sz w:val="24"/>
              </w:rPr>
              <w:t>业务。</w:t>
            </w:r>
          </w:p>
          <w:p>
            <w:pPr>
              <w:snapToGrid w:val="0"/>
              <w:spacing w:before="156" w:beforeLines="50" w:after="156" w:afterLines="50" w:line="360" w:lineRule="auto"/>
              <w:rPr>
                <w:rFonts w:ascii="宋体" w:hAnsi="宋体"/>
                <w:sz w:val="24"/>
                <w:lang w:eastAsia="zh-Hans"/>
              </w:rPr>
            </w:pPr>
            <w:r>
              <w:rPr>
                <w:rFonts w:hint="eastAsia" w:ascii="宋体" w:hAnsi="宋体" w:eastAsia="宋体"/>
                <w:sz w:val="24"/>
                <w:lang w:eastAsia="zh-Hans"/>
              </w:rPr>
              <w:t>南航资本的最终控制人为</w:t>
            </w:r>
            <w:r>
              <w:rPr>
                <w:rFonts w:hint="eastAsia" w:ascii="宋体" w:hAnsi="宋体" w:eastAsia="宋体"/>
                <w:sz w:val="24"/>
              </w:rPr>
              <w:t>南航集团。南航集团主要业务为通过其控股的中国南方航空股份有限公司从事航空运输服务。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4" w:hRule="exact"/>
        </w:trPr>
        <w:tc>
          <w:tcPr>
            <w:tcW w:w="1809" w:type="dxa"/>
            <w:vMerge w:val="continue"/>
            <w:shd w:val="clear" w:color="auto" w:fill="D9D9D9"/>
          </w:tcPr>
          <w:p>
            <w:pPr>
              <w:rPr>
                <w:rFonts w:ascii="宋体" w:hAnsi="宋体" w:eastAsia="宋体"/>
                <w:sz w:val="24"/>
              </w:rPr>
            </w:pPr>
          </w:p>
        </w:tc>
        <w:tc>
          <w:tcPr>
            <w:tcW w:w="1796" w:type="dxa"/>
            <w:vAlign w:val="center"/>
          </w:tcPr>
          <w:p>
            <w:pPr>
              <w:pStyle w:val="12"/>
              <w:numPr>
                <w:ilvl w:val="0"/>
                <w:numId w:val="2"/>
              </w:numPr>
              <w:spacing w:before="156" w:beforeLines="50" w:after="156" w:afterLines="50" w:line="360" w:lineRule="auto"/>
              <w:ind w:firstLineChars="0"/>
              <w:jc w:val="center"/>
              <w:rPr>
                <w:rFonts w:ascii="宋体" w:hAnsi="宋体" w:eastAsia="宋体"/>
                <w:sz w:val="24"/>
              </w:rPr>
            </w:pPr>
            <w:r>
              <w:rPr>
                <w:rFonts w:hint="eastAsia" w:ascii="宋体" w:hAnsi="宋体" w:eastAsia="宋体"/>
                <w:sz w:val="24"/>
                <w:lang w:eastAsia="zh-Hans"/>
              </w:rPr>
              <w:t>信杰明珠</w:t>
            </w:r>
          </w:p>
        </w:tc>
        <w:tc>
          <w:tcPr>
            <w:tcW w:w="5153" w:type="dxa"/>
          </w:tcPr>
          <w:p>
            <w:pPr>
              <w:snapToGrid w:val="0"/>
              <w:spacing w:before="156" w:beforeLines="50" w:after="156" w:afterLines="50" w:line="360" w:lineRule="auto"/>
              <w:rPr>
                <w:rFonts w:ascii="宋体" w:hAnsi="宋体" w:eastAsia="宋体"/>
                <w:sz w:val="24"/>
                <w:lang w:eastAsia="zh-Hans"/>
              </w:rPr>
            </w:pPr>
            <w:r>
              <w:rPr>
                <w:rFonts w:hint="eastAsia" w:ascii="宋体" w:hAnsi="宋体" w:eastAsia="宋体"/>
                <w:sz w:val="24"/>
                <w:lang w:eastAsia="zh-Hans"/>
              </w:rPr>
              <w:t>信杰明珠于</w:t>
            </w:r>
            <w:r>
              <w:rPr>
                <w:rFonts w:ascii="宋体" w:hAnsi="宋体" w:eastAsia="宋体"/>
                <w:sz w:val="24"/>
                <w:lang w:eastAsia="zh-Hans"/>
              </w:rPr>
              <w:t>2020</w:t>
            </w:r>
            <w:r>
              <w:rPr>
                <w:rFonts w:hint="eastAsia" w:ascii="宋体" w:hAnsi="宋体" w:eastAsia="宋体"/>
                <w:sz w:val="24"/>
                <w:lang w:eastAsia="zh-Hans"/>
              </w:rPr>
              <w:t>年</w:t>
            </w:r>
            <w:r>
              <w:rPr>
                <w:rFonts w:ascii="宋体" w:hAnsi="宋体" w:eastAsia="宋体"/>
                <w:sz w:val="24"/>
                <w:lang w:eastAsia="zh-Hans"/>
              </w:rPr>
              <w:t>11</w:t>
            </w:r>
            <w:r>
              <w:rPr>
                <w:rFonts w:hint="eastAsia" w:ascii="宋体" w:hAnsi="宋体" w:eastAsia="宋体"/>
                <w:sz w:val="24"/>
                <w:lang w:eastAsia="zh-Hans"/>
              </w:rPr>
              <w:t>月</w:t>
            </w:r>
            <w:r>
              <w:rPr>
                <w:rFonts w:ascii="宋体" w:hAnsi="宋体" w:eastAsia="宋体"/>
                <w:sz w:val="24"/>
                <w:lang w:eastAsia="zh-Hans"/>
              </w:rPr>
              <w:t>25</w:t>
            </w:r>
            <w:r>
              <w:rPr>
                <w:rFonts w:hint="eastAsia" w:ascii="宋体" w:hAnsi="宋体" w:eastAsia="宋体"/>
                <w:sz w:val="24"/>
                <w:lang w:eastAsia="zh-Hans"/>
              </w:rPr>
              <w:t>日成立于中国海南省</w:t>
            </w:r>
            <w:r>
              <w:rPr>
                <w:rFonts w:ascii="宋体" w:hAnsi="宋体" w:eastAsia="宋体"/>
                <w:sz w:val="24"/>
                <w:lang w:eastAsia="zh-Hans"/>
              </w:rPr>
              <w:t>，</w:t>
            </w:r>
            <w:r>
              <w:rPr>
                <w:rFonts w:hint="eastAsia" w:ascii="宋体" w:hAnsi="宋体" w:eastAsia="宋体"/>
                <w:sz w:val="24"/>
                <w:lang w:eastAsia="zh-Hans"/>
              </w:rPr>
              <w:t>主要业务为企业管理、信息咨询服务等</w:t>
            </w:r>
            <w:r>
              <w:rPr>
                <w:rFonts w:ascii="宋体" w:hAnsi="宋体" w:eastAsia="宋体"/>
                <w:sz w:val="24"/>
                <w:lang w:eastAsia="zh-Hans"/>
              </w:rPr>
              <w:t>。</w:t>
            </w:r>
          </w:p>
          <w:p>
            <w:pPr>
              <w:snapToGrid w:val="0"/>
              <w:spacing w:before="156" w:beforeLines="50" w:after="156" w:afterLines="50" w:line="360" w:lineRule="auto"/>
              <w:rPr>
                <w:lang w:eastAsia="zh-Hans"/>
              </w:rPr>
            </w:pPr>
            <w:r>
              <w:rPr>
                <w:rFonts w:hint="eastAsia" w:ascii="宋体" w:hAnsi="宋体" w:eastAsia="宋体"/>
                <w:sz w:val="24"/>
                <w:lang w:eastAsia="zh-Hans"/>
              </w:rPr>
              <w:t>信杰明珠的最终控制人为自然人</w:t>
            </w:r>
            <w:r>
              <w:rPr>
                <w:rFonts w:ascii="宋体" w:hAnsi="宋体" w:eastAsia="宋体"/>
                <w:sz w:val="24"/>
                <w:lang w:eastAsia="zh-Hans"/>
              </w:rPr>
              <w:t>，</w:t>
            </w:r>
            <w:r>
              <w:rPr>
                <w:rFonts w:hint="eastAsia" w:ascii="宋体" w:hAnsi="宋体" w:eastAsia="宋体"/>
                <w:sz w:val="24"/>
                <w:lang w:eastAsia="zh-Hans"/>
              </w:rPr>
              <w:t>主要业务为技术服务开发、电子产品销售、日用百货以及基础电信业务</w:t>
            </w:r>
            <w:r>
              <w:rPr>
                <w:rFonts w:ascii="宋体" w:hAnsi="宋体" w:eastAsia="宋体"/>
                <w:sz w:val="24"/>
                <w:lang w:eastAsia="zh-Han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8" w:hRule="exact"/>
        </w:trPr>
        <w:tc>
          <w:tcPr>
            <w:tcW w:w="1809" w:type="dxa"/>
            <w:vMerge w:val="continue"/>
            <w:shd w:val="clear" w:color="auto" w:fill="D9D9D9"/>
          </w:tcPr>
          <w:p>
            <w:pPr>
              <w:rPr>
                <w:rFonts w:ascii="宋体" w:hAnsi="宋体" w:eastAsia="宋体"/>
                <w:sz w:val="24"/>
              </w:rPr>
            </w:pPr>
          </w:p>
        </w:tc>
        <w:tc>
          <w:tcPr>
            <w:tcW w:w="1796" w:type="dxa"/>
            <w:vAlign w:val="center"/>
          </w:tcPr>
          <w:p>
            <w:pPr>
              <w:pStyle w:val="12"/>
              <w:numPr>
                <w:ilvl w:val="0"/>
                <w:numId w:val="2"/>
              </w:numPr>
              <w:ind w:firstLineChars="0"/>
              <w:jc w:val="center"/>
              <w:rPr>
                <w:rFonts w:ascii="宋体" w:hAnsi="宋体" w:eastAsia="宋体"/>
                <w:sz w:val="24"/>
                <w:lang w:eastAsia="zh-Hans"/>
              </w:rPr>
            </w:pPr>
            <w:r>
              <w:rPr>
                <w:rFonts w:hint="eastAsia" w:ascii="宋体" w:hAnsi="宋体" w:eastAsia="宋体"/>
                <w:sz w:val="24"/>
                <w:lang w:eastAsia="zh-Hans"/>
              </w:rPr>
              <w:t>上海信飞</w:t>
            </w:r>
          </w:p>
        </w:tc>
        <w:tc>
          <w:tcPr>
            <w:tcW w:w="5153" w:type="dxa"/>
          </w:tcPr>
          <w:p>
            <w:pPr>
              <w:snapToGrid w:val="0"/>
              <w:spacing w:before="156" w:beforeLines="50" w:after="156" w:afterLines="50" w:line="360" w:lineRule="auto"/>
              <w:rPr>
                <w:rFonts w:ascii="宋体" w:hAnsi="宋体" w:eastAsia="宋体" w:cs="宋体"/>
                <w:sz w:val="24"/>
                <w:lang w:eastAsia="zh-Hans"/>
              </w:rPr>
            </w:pPr>
            <w:r>
              <w:rPr>
                <w:rFonts w:hint="eastAsia" w:ascii="宋体" w:hAnsi="宋体" w:eastAsia="宋体" w:cs="宋体"/>
                <w:sz w:val="24"/>
                <w:lang w:eastAsia="zh-Hans"/>
              </w:rPr>
              <w:t>上海信飞于</w:t>
            </w:r>
            <w:r>
              <w:rPr>
                <w:rFonts w:ascii="宋体" w:hAnsi="宋体" w:eastAsia="宋体" w:cs="宋体"/>
                <w:sz w:val="24"/>
                <w:lang w:eastAsia="zh-Hans"/>
              </w:rPr>
              <w:t>2016</w:t>
            </w:r>
            <w:r>
              <w:rPr>
                <w:rFonts w:hint="eastAsia" w:ascii="宋体" w:hAnsi="宋体" w:eastAsia="宋体" w:cs="宋体"/>
                <w:sz w:val="24"/>
                <w:lang w:eastAsia="zh-Hans"/>
              </w:rPr>
              <w:t>年</w:t>
            </w:r>
            <w:r>
              <w:rPr>
                <w:rFonts w:ascii="宋体" w:hAnsi="宋体" w:eastAsia="宋体" w:cs="宋体"/>
                <w:sz w:val="24"/>
                <w:lang w:eastAsia="zh-Hans"/>
              </w:rPr>
              <w:t>12</w:t>
            </w:r>
            <w:r>
              <w:rPr>
                <w:rFonts w:hint="eastAsia" w:ascii="宋体" w:hAnsi="宋体" w:eastAsia="宋体" w:cs="宋体"/>
                <w:sz w:val="24"/>
                <w:lang w:eastAsia="zh-Hans"/>
              </w:rPr>
              <w:t>月</w:t>
            </w:r>
            <w:r>
              <w:rPr>
                <w:rFonts w:ascii="宋体" w:hAnsi="宋体" w:eastAsia="宋体" w:cs="宋体"/>
                <w:sz w:val="24"/>
                <w:lang w:eastAsia="zh-Hans"/>
              </w:rPr>
              <w:t>1</w:t>
            </w:r>
            <w:r>
              <w:rPr>
                <w:rFonts w:hint="eastAsia" w:ascii="宋体" w:hAnsi="宋体" w:eastAsia="宋体" w:cs="宋体"/>
                <w:sz w:val="24"/>
                <w:lang w:eastAsia="zh-Hans"/>
              </w:rPr>
              <w:t>日成立于中国上海市</w:t>
            </w:r>
            <w:r>
              <w:rPr>
                <w:rFonts w:ascii="宋体" w:hAnsi="宋体" w:eastAsia="宋体" w:cs="宋体"/>
                <w:sz w:val="24"/>
                <w:lang w:eastAsia="zh-Hans"/>
              </w:rPr>
              <w:t>，</w:t>
            </w:r>
            <w:r>
              <w:rPr>
                <w:rFonts w:hint="eastAsia" w:ascii="宋体" w:hAnsi="宋体" w:eastAsia="宋体"/>
                <w:sz w:val="24"/>
                <w:lang w:eastAsia="zh-Hans"/>
              </w:rPr>
              <w:t>主要业务为网络科技领域内的技术开发、技术咨询</w:t>
            </w:r>
            <w:r>
              <w:rPr>
                <w:rFonts w:ascii="宋体" w:hAnsi="宋体" w:eastAsia="宋体"/>
                <w:sz w:val="24"/>
                <w:lang w:eastAsia="zh-Hans"/>
              </w:rPr>
              <w:t>、</w:t>
            </w:r>
            <w:r>
              <w:rPr>
                <w:rFonts w:hint="eastAsia" w:ascii="宋体" w:hAnsi="宋体" w:eastAsia="宋体"/>
                <w:sz w:val="24"/>
                <w:lang w:eastAsia="zh-Hans"/>
              </w:rPr>
              <w:t>旅游信息咨询等，并通过控股公司从事航旅金融科技服务</w:t>
            </w:r>
            <w:r>
              <w:rPr>
                <w:rFonts w:ascii="宋体" w:hAnsi="宋体" w:eastAsia="宋体"/>
                <w:sz w:val="24"/>
                <w:lang w:eastAsia="zh-Hans"/>
              </w:rPr>
              <w:t>。</w:t>
            </w:r>
          </w:p>
          <w:p>
            <w:pPr>
              <w:snapToGrid w:val="0"/>
              <w:spacing w:before="156" w:beforeLines="50" w:after="156" w:afterLines="50" w:line="360" w:lineRule="auto"/>
              <w:rPr>
                <w:lang w:eastAsia="zh-Hans"/>
              </w:rPr>
            </w:pPr>
            <w:r>
              <w:rPr>
                <w:rFonts w:hint="eastAsia" w:ascii="宋体" w:hAnsi="宋体" w:eastAsia="宋体"/>
                <w:sz w:val="24"/>
                <w:lang w:eastAsia="zh-Hans"/>
              </w:rPr>
              <w:t>上海信飞的最终控制人为自然人，主要业务为航旅金融科技等行业投资。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809" w:type="dxa"/>
            <w:vMerge w:val="restart"/>
            <w:shd w:val="clear" w:color="auto" w:fill="D9D9D9"/>
          </w:tcPr>
          <w:p>
            <w:pPr>
              <w:rPr>
                <w:rFonts w:ascii="宋体" w:hAnsi="宋体" w:eastAsia="宋体"/>
                <w:sz w:val="24"/>
              </w:rPr>
            </w:pPr>
            <w:r>
              <w:rPr>
                <w:rFonts w:ascii="宋体" w:hAnsi="宋体" w:eastAsia="宋体"/>
                <w:sz w:val="24"/>
              </w:rPr>
              <w:t>简易案件理由（可以单选，也可以多选）</w:t>
            </w:r>
          </w:p>
        </w:tc>
        <w:tc>
          <w:tcPr>
            <w:tcW w:w="6949" w:type="dxa"/>
            <w:gridSpan w:val="2"/>
          </w:tcPr>
          <w:p>
            <w:pPr>
              <w:rPr>
                <w:rFonts w:ascii="宋体" w:hAnsi="宋体" w:eastAsia="宋体"/>
                <w:sz w:val="24"/>
              </w:rPr>
            </w:pPr>
            <w:r>
              <w:rPr>
                <w:rFonts w:ascii="Arial" w:hAnsi="Arial" w:eastAsia="宋体" w:cs="Arial"/>
                <w:sz w:val="24"/>
              </w:rPr>
              <w:t>√</w:t>
            </w:r>
            <w:r>
              <w:rPr>
                <w:rFonts w:ascii="宋体" w:hAnsi="宋体" w:eastAsia="宋体"/>
                <w:sz w:val="24"/>
              </w:rPr>
              <w:t xml:space="preserve"> 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809" w:type="dxa"/>
            <w:vMerge w:val="continue"/>
            <w:shd w:val="clear" w:color="auto" w:fill="D9D9D9"/>
          </w:tcPr>
          <w:p>
            <w:pPr>
              <w:rPr>
                <w:rFonts w:ascii="宋体" w:hAnsi="宋体" w:eastAsia="宋体"/>
                <w:sz w:val="24"/>
              </w:rPr>
            </w:pPr>
          </w:p>
        </w:tc>
        <w:tc>
          <w:tcPr>
            <w:tcW w:w="6949" w:type="dxa"/>
            <w:gridSpan w:val="2"/>
          </w:tcPr>
          <w:p>
            <w:pPr>
              <w:rPr>
                <w:rFonts w:ascii="宋体" w:hAnsi="宋体" w:eastAsia="宋体"/>
                <w:sz w:val="24"/>
              </w:rPr>
            </w:pPr>
            <w:r>
              <w:rPr>
                <w:rFonts w:ascii="Arial" w:hAnsi="Arial" w:eastAsia="宋体" w:cs="Arial"/>
                <w:sz w:val="24"/>
              </w:rPr>
              <w:t>√</w:t>
            </w:r>
            <w:r>
              <w:rPr>
                <w:rFonts w:ascii="宋体" w:hAnsi="宋体" w:eastAsia="宋体"/>
                <w:sz w:val="24"/>
              </w:rPr>
              <w:t xml:space="preserve"> 2、存在上下游关系的参与集中的经营者，在上下游市场所占的市场份额均小于25%。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Merge w:val="continue"/>
            <w:shd w:val="clear" w:color="auto" w:fill="D9D9D9"/>
          </w:tcPr>
          <w:p>
            <w:pPr>
              <w:rPr>
                <w:rFonts w:ascii="宋体" w:hAnsi="宋体" w:eastAsia="宋体"/>
                <w:sz w:val="24"/>
              </w:rPr>
            </w:pPr>
          </w:p>
        </w:tc>
        <w:tc>
          <w:tcPr>
            <w:tcW w:w="6949" w:type="dxa"/>
            <w:gridSpan w:val="2"/>
          </w:tcPr>
          <w:p>
            <w:pPr>
              <w:rPr>
                <w:rFonts w:ascii="宋体" w:hAnsi="宋体" w:eastAsia="宋体"/>
                <w:sz w:val="24"/>
              </w:rPr>
            </w:pPr>
            <w:r>
              <w:rPr>
                <w:rFonts w:ascii="Arial" w:hAnsi="Arial" w:eastAsia="宋体" w:cs="Arial"/>
                <w:sz w:val="24"/>
              </w:rPr>
              <w:t>√</w:t>
            </w:r>
            <w:r>
              <w:rPr>
                <w:rFonts w:ascii="宋体" w:hAnsi="宋体" w:eastAsia="宋体"/>
                <w:sz w:val="24"/>
              </w:rPr>
              <w:t xml:space="preserve"> 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809" w:type="dxa"/>
            <w:vMerge w:val="continue"/>
            <w:shd w:val="clear" w:color="auto" w:fill="D9D9D9"/>
          </w:tcPr>
          <w:p>
            <w:pPr>
              <w:rPr>
                <w:rFonts w:ascii="宋体" w:hAnsi="宋体" w:eastAsia="宋体"/>
                <w:sz w:val="24"/>
              </w:rPr>
            </w:pPr>
          </w:p>
        </w:tc>
        <w:tc>
          <w:tcPr>
            <w:tcW w:w="6949" w:type="dxa"/>
            <w:gridSpan w:val="2"/>
          </w:tcPr>
          <w:p>
            <w:pPr>
              <w:ind w:firstLine="240" w:firstLineChars="100"/>
              <w:rPr>
                <w:rFonts w:ascii="宋体" w:hAnsi="宋体" w:eastAsia="宋体"/>
                <w:sz w:val="24"/>
              </w:rPr>
            </w:pPr>
            <w:r>
              <w:rPr>
                <w:rFonts w:ascii="宋体" w:hAnsi="宋体" w:eastAsia="宋体"/>
                <w:sz w:val="24"/>
              </w:rPr>
              <w:t>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1809" w:type="dxa"/>
            <w:vMerge w:val="continue"/>
            <w:shd w:val="clear" w:color="auto" w:fill="D9D9D9"/>
          </w:tcPr>
          <w:p>
            <w:pPr>
              <w:rPr>
                <w:rFonts w:ascii="宋体" w:hAnsi="宋体" w:eastAsia="宋体"/>
                <w:sz w:val="24"/>
              </w:rPr>
            </w:pPr>
          </w:p>
        </w:tc>
        <w:tc>
          <w:tcPr>
            <w:tcW w:w="6949" w:type="dxa"/>
            <w:gridSpan w:val="2"/>
          </w:tcPr>
          <w:p>
            <w:pPr>
              <w:ind w:firstLine="240" w:firstLineChars="100"/>
              <w:rPr>
                <w:rFonts w:ascii="宋体" w:hAnsi="宋体" w:eastAsia="宋体"/>
                <w:sz w:val="24"/>
              </w:rPr>
            </w:pPr>
            <w:r>
              <w:rPr>
                <w:rFonts w:ascii="宋体" w:hAnsi="宋体" w:eastAsia="宋体"/>
                <w:sz w:val="24"/>
              </w:rPr>
              <w:t>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809" w:type="dxa"/>
            <w:vMerge w:val="continue"/>
            <w:shd w:val="clear" w:color="auto" w:fill="D9D9D9"/>
          </w:tcPr>
          <w:p>
            <w:pPr>
              <w:rPr>
                <w:rFonts w:ascii="宋体" w:hAnsi="宋体" w:eastAsia="宋体"/>
                <w:sz w:val="24"/>
              </w:rPr>
            </w:pPr>
          </w:p>
        </w:tc>
        <w:tc>
          <w:tcPr>
            <w:tcW w:w="6949" w:type="dxa"/>
            <w:gridSpan w:val="2"/>
          </w:tcPr>
          <w:p>
            <w:pPr>
              <w:ind w:firstLine="240" w:firstLineChars="100"/>
              <w:rPr>
                <w:rFonts w:ascii="宋体" w:hAnsi="宋体" w:eastAsia="宋体"/>
                <w:sz w:val="24"/>
              </w:rPr>
            </w:pPr>
            <w:r>
              <w:rPr>
                <w:rFonts w:ascii="宋体" w:hAnsi="宋体" w:eastAsia="宋体"/>
                <w:sz w:val="24"/>
              </w:rPr>
              <w:t>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shd w:val="clear" w:color="auto" w:fill="D9D9D9"/>
          </w:tcPr>
          <w:p>
            <w:pPr>
              <w:rPr>
                <w:rFonts w:ascii="宋体" w:hAnsi="宋体" w:eastAsia="宋体"/>
                <w:sz w:val="24"/>
              </w:rPr>
            </w:pPr>
            <w:r>
              <w:rPr>
                <w:rFonts w:ascii="宋体" w:hAnsi="宋体" w:eastAsia="宋体"/>
                <w:sz w:val="24"/>
              </w:rPr>
              <w:t>备注</w:t>
            </w:r>
          </w:p>
        </w:tc>
        <w:tc>
          <w:tcPr>
            <w:tcW w:w="6949" w:type="dxa"/>
            <w:gridSpan w:val="2"/>
          </w:tcPr>
          <w:p>
            <w:pPr>
              <w:snapToGrid w:val="0"/>
              <w:spacing w:before="156" w:beforeLines="50" w:after="156" w:afterLines="50"/>
              <w:rPr>
                <w:rFonts w:ascii="宋体" w:hAnsi="宋体" w:eastAsia="宋体"/>
                <w:b/>
                <w:bCs/>
                <w:sz w:val="24"/>
                <w:lang w:eastAsia="zh-Hans"/>
              </w:rPr>
            </w:pPr>
            <w:r>
              <w:rPr>
                <w:rFonts w:hint="eastAsia" w:ascii="宋体" w:hAnsi="宋体" w:eastAsia="宋体"/>
                <w:b/>
                <w:bCs/>
                <w:sz w:val="24"/>
                <w:lang w:eastAsia="zh-Hans"/>
              </w:rPr>
              <w:t>横向重叠</w:t>
            </w:r>
            <w:r>
              <w:rPr>
                <w:rFonts w:ascii="宋体" w:hAnsi="宋体" w:eastAsia="宋体"/>
                <w:b/>
                <w:bCs/>
                <w:sz w:val="24"/>
                <w:lang w:eastAsia="zh-Hans"/>
              </w:rPr>
              <w:t>：</w:t>
            </w:r>
          </w:p>
          <w:p>
            <w:pPr>
              <w:snapToGrid w:val="0"/>
              <w:spacing w:before="156" w:beforeLines="50" w:after="156" w:afterLines="50"/>
              <w:rPr>
                <w:rFonts w:ascii="宋体" w:hAnsi="宋体" w:eastAsia="宋体"/>
                <w:sz w:val="24"/>
                <w:lang w:eastAsia="zh-Hans"/>
              </w:rPr>
            </w:pPr>
            <w:r>
              <w:rPr>
                <w:rFonts w:ascii="宋体" w:hAnsi="宋体" w:eastAsia="宋体"/>
                <w:sz w:val="24"/>
                <w:lang w:eastAsia="zh-Hans"/>
              </w:rPr>
              <w:t>2021</w:t>
            </w:r>
            <w:r>
              <w:rPr>
                <w:rFonts w:hint="eastAsia" w:ascii="宋体" w:hAnsi="宋体" w:eastAsia="宋体"/>
                <w:sz w:val="24"/>
                <w:lang w:eastAsia="zh-Hans"/>
              </w:rPr>
              <w:t>年中国境内分期电商服务市场</w:t>
            </w:r>
          </w:p>
          <w:p>
            <w:pPr>
              <w:snapToGrid w:val="0"/>
              <w:spacing w:before="156" w:beforeLines="50" w:after="156" w:afterLines="50"/>
              <w:rPr>
                <w:rFonts w:ascii="宋体" w:hAnsi="宋体" w:eastAsia="宋体"/>
                <w:sz w:val="24"/>
                <w:lang w:eastAsia="zh-Hans"/>
              </w:rPr>
            </w:pPr>
            <w:r>
              <w:rPr>
                <w:rFonts w:hint="eastAsia" w:ascii="宋体" w:hAnsi="宋体" w:eastAsia="宋体"/>
                <w:sz w:val="24"/>
                <w:lang w:eastAsia="zh-Hans"/>
              </w:rPr>
              <w:t>上海信飞</w:t>
            </w:r>
            <w:r>
              <w:rPr>
                <w:rFonts w:ascii="宋体" w:hAnsi="宋体" w:eastAsia="宋体"/>
                <w:sz w:val="24"/>
                <w:lang w:eastAsia="zh-Hans"/>
              </w:rPr>
              <w:t>：0-5%</w:t>
            </w:r>
            <w:r>
              <w:rPr>
                <w:rFonts w:hint="eastAsia" w:ascii="宋体" w:hAnsi="宋体" w:eastAsia="宋体"/>
                <w:sz w:val="24"/>
                <w:lang w:eastAsia="zh-Hans"/>
              </w:rPr>
              <w:t>，明珠数科</w:t>
            </w:r>
            <w:r>
              <w:rPr>
                <w:rFonts w:ascii="宋体" w:hAnsi="宋体" w:eastAsia="宋体"/>
                <w:sz w:val="24"/>
                <w:lang w:eastAsia="zh-Hans"/>
              </w:rPr>
              <w:t>：0-5%</w:t>
            </w:r>
            <w:r>
              <w:rPr>
                <w:rFonts w:hint="eastAsia" w:ascii="宋体" w:hAnsi="宋体" w:eastAsia="宋体"/>
                <w:sz w:val="24"/>
                <w:lang w:eastAsia="zh-Hans"/>
              </w:rPr>
              <w:t>，各方合计：0</w:t>
            </w:r>
            <w:r>
              <w:rPr>
                <w:rFonts w:ascii="宋体" w:hAnsi="宋体" w:eastAsia="宋体"/>
                <w:sz w:val="24"/>
                <w:lang w:eastAsia="zh-Hans"/>
              </w:rPr>
              <w:t>-5%</w:t>
            </w:r>
          </w:p>
          <w:p>
            <w:pPr>
              <w:snapToGrid w:val="0"/>
              <w:spacing w:before="156" w:beforeLines="50" w:after="156" w:afterLines="50"/>
              <w:rPr>
                <w:rFonts w:ascii="宋体" w:hAnsi="宋体" w:eastAsia="宋体"/>
                <w:sz w:val="24"/>
                <w:lang w:eastAsia="zh-Hans"/>
              </w:rPr>
            </w:pPr>
            <w:r>
              <w:rPr>
                <w:rFonts w:ascii="宋体" w:hAnsi="宋体" w:eastAsia="宋体"/>
                <w:sz w:val="24"/>
                <w:lang w:eastAsia="zh-Hans"/>
              </w:rPr>
              <w:t>2021</w:t>
            </w:r>
            <w:r>
              <w:rPr>
                <w:rFonts w:hint="eastAsia" w:ascii="宋体" w:hAnsi="宋体" w:eastAsia="宋体"/>
                <w:sz w:val="24"/>
                <w:lang w:eastAsia="zh-Hans"/>
              </w:rPr>
              <w:t>年中国境内互联网消费金融助贷市场</w:t>
            </w:r>
          </w:p>
          <w:p>
            <w:pPr>
              <w:snapToGrid w:val="0"/>
              <w:spacing w:before="156" w:beforeLines="50" w:after="156" w:afterLines="50"/>
              <w:rPr>
                <w:rFonts w:ascii="宋体" w:hAnsi="宋体" w:eastAsia="宋体"/>
                <w:sz w:val="24"/>
                <w:lang w:eastAsia="zh-Hans"/>
              </w:rPr>
            </w:pPr>
            <w:r>
              <w:rPr>
                <w:rFonts w:hint="eastAsia" w:ascii="宋体" w:hAnsi="宋体" w:eastAsia="宋体"/>
                <w:sz w:val="24"/>
                <w:lang w:eastAsia="zh-Hans"/>
              </w:rPr>
              <w:t>上海信飞</w:t>
            </w:r>
            <w:r>
              <w:rPr>
                <w:rFonts w:ascii="宋体" w:hAnsi="宋体" w:eastAsia="宋体"/>
                <w:sz w:val="24"/>
                <w:lang w:eastAsia="zh-Hans"/>
              </w:rPr>
              <w:t>：0-5%</w:t>
            </w:r>
            <w:r>
              <w:rPr>
                <w:rFonts w:hint="eastAsia" w:ascii="宋体" w:hAnsi="宋体" w:eastAsia="宋体"/>
                <w:sz w:val="24"/>
                <w:lang w:eastAsia="zh-Hans"/>
              </w:rPr>
              <w:t>，明珠数科</w:t>
            </w:r>
            <w:r>
              <w:rPr>
                <w:rFonts w:ascii="宋体" w:hAnsi="宋体" w:eastAsia="宋体"/>
                <w:sz w:val="24"/>
                <w:lang w:eastAsia="zh-Hans"/>
              </w:rPr>
              <w:t>：0-5%</w:t>
            </w:r>
            <w:r>
              <w:rPr>
                <w:rFonts w:hint="eastAsia" w:ascii="宋体" w:hAnsi="宋体" w:eastAsia="宋体"/>
                <w:sz w:val="24"/>
                <w:lang w:eastAsia="zh-Hans"/>
              </w:rPr>
              <w:t>，各方合计：0</w:t>
            </w:r>
            <w:r>
              <w:rPr>
                <w:rFonts w:ascii="宋体" w:hAnsi="宋体" w:eastAsia="宋体"/>
                <w:sz w:val="24"/>
                <w:lang w:eastAsia="zh-Hans"/>
              </w:rPr>
              <w:t>-5%</w:t>
            </w:r>
          </w:p>
          <w:p>
            <w:pPr>
              <w:snapToGrid w:val="0"/>
              <w:spacing w:before="156" w:beforeLines="50" w:after="156" w:afterLines="50"/>
              <w:rPr>
                <w:rFonts w:ascii="宋体" w:hAnsi="宋体" w:eastAsia="宋体"/>
                <w:b/>
                <w:bCs/>
                <w:sz w:val="24"/>
                <w:lang w:eastAsia="zh-Hans"/>
              </w:rPr>
            </w:pPr>
            <w:r>
              <w:rPr>
                <w:rFonts w:hint="eastAsia" w:ascii="宋体" w:hAnsi="宋体" w:eastAsia="宋体"/>
                <w:b/>
                <w:bCs/>
                <w:sz w:val="24"/>
                <w:lang w:eastAsia="zh-Hans"/>
              </w:rPr>
              <w:t>纵向关联：</w:t>
            </w:r>
          </w:p>
          <w:p>
            <w:pPr>
              <w:snapToGrid w:val="0"/>
              <w:spacing w:before="156" w:beforeLines="50" w:after="156" w:afterLines="50"/>
              <w:rPr>
                <w:rFonts w:ascii="宋体" w:hAnsi="宋体" w:eastAsia="宋体"/>
                <w:sz w:val="24"/>
                <w:lang w:eastAsia="zh-Hans"/>
              </w:rPr>
            </w:pPr>
            <w:r>
              <w:rPr>
                <w:rFonts w:hint="eastAsia" w:ascii="宋体" w:hAnsi="宋体" w:eastAsia="宋体"/>
                <w:sz w:val="24"/>
                <w:lang w:eastAsia="zh-Hans"/>
              </w:rPr>
              <w:t>1</w:t>
            </w:r>
            <w:r>
              <w:rPr>
                <w:rFonts w:ascii="宋体" w:hAnsi="宋体" w:eastAsia="宋体"/>
                <w:sz w:val="24"/>
                <w:lang w:eastAsia="zh-Hans"/>
              </w:rPr>
              <w:t>.</w:t>
            </w:r>
            <w:r>
              <w:rPr>
                <w:rFonts w:hint="eastAsia" w:ascii="宋体" w:hAnsi="宋体" w:eastAsia="宋体"/>
                <w:sz w:val="24"/>
                <w:lang w:eastAsia="zh-Hans"/>
              </w:rPr>
              <w:t>上游：2</w:t>
            </w:r>
            <w:r>
              <w:rPr>
                <w:rFonts w:ascii="宋体" w:hAnsi="宋体" w:eastAsia="宋体"/>
                <w:sz w:val="24"/>
                <w:lang w:eastAsia="zh-Hans"/>
              </w:rPr>
              <w:t>021</w:t>
            </w:r>
            <w:r>
              <w:rPr>
                <w:rFonts w:hint="eastAsia" w:ascii="宋体" w:hAnsi="宋体" w:eastAsia="宋体"/>
                <w:sz w:val="24"/>
                <w:lang w:eastAsia="zh-Hans"/>
              </w:rPr>
              <w:t>年中国境内网络小额贷款服务市场</w:t>
            </w:r>
          </w:p>
          <w:p>
            <w:pPr>
              <w:snapToGrid w:val="0"/>
              <w:spacing w:before="156" w:beforeLines="50" w:after="156" w:afterLines="50"/>
              <w:rPr>
                <w:rFonts w:ascii="宋体" w:hAnsi="宋体" w:eastAsia="宋体"/>
                <w:sz w:val="24"/>
                <w:lang w:eastAsia="zh-Hans"/>
              </w:rPr>
            </w:pPr>
            <w:r>
              <w:rPr>
                <w:rFonts w:hint="eastAsia" w:ascii="宋体" w:hAnsi="宋体" w:eastAsia="宋体"/>
                <w:sz w:val="24"/>
                <w:lang w:eastAsia="zh-Hans"/>
              </w:rPr>
              <w:t>明珠数科：0</w:t>
            </w:r>
            <w:r>
              <w:rPr>
                <w:rFonts w:ascii="宋体" w:hAnsi="宋体" w:eastAsia="宋体"/>
                <w:sz w:val="24"/>
                <w:lang w:eastAsia="zh-Hans"/>
              </w:rPr>
              <w:t>-5%</w:t>
            </w:r>
          </w:p>
          <w:p>
            <w:pPr>
              <w:snapToGrid w:val="0"/>
              <w:spacing w:before="156" w:beforeLines="50" w:after="156" w:afterLines="50"/>
              <w:rPr>
                <w:rFonts w:ascii="宋体" w:hAnsi="宋体" w:eastAsia="宋体"/>
                <w:sz w:val="24"/>
                <w:lang w:eastAsia="zh-Hans"/>
              </w:rPr>
            </w:pPr>
            <w:r>
              <w:rPr>
                <w:rFonts w:hint="eastAsia" w:ascii="宋体" w:hAnsi="宋体" w:eastAsia="宋体"/>
                <w:sz w:val="24"/>
                <w:lang w:eastAsia="zh-Hans"/>
              </w:rPr>
              <w:t>下游：</w:t>
            </w:r>
            <w:r>
              <w:rPr>
                <w:rFonts w:ascii="宋体" w:hAnsi="宋体" w:eastAsia="宋体"/>
                <w:sz w:val="24"/>
                <w:lang w:eastAsia="zh-Hans"/>
              </w:rPr>
              <w:t>2021</w:t>
            </w:r>
            <w:r>
              <w:rPr>
                <w:rFonts w:hint="eastAsia" w:ascii="宋体" w:hAnsi="宋体" w:eastAsia="宋体"/>
                <w:sz w:val="24"/>
                <w:lang w:eastAsia="zh-Hans"/>
              </w:rPr>
              <w:t>年中国境内分期电商服务市场</w:t>
            </w:r>
          </w:p>
          <w:p>
            <w:pPr>
              <w:snapToGrid w:val="0"/>
              <w:spacing w:before="156" w:beforeLines="50" w:after="156" w:afterLines="50"/>
              <w:rPr>
                <w:rFonts w:ascii="宋体" w:hAnsi="宋体" w:eastAsia="宋体"/>
                <w:sz w:val="24"/>
                <w:lang w:eastAsia="zh-Hans"/>
              </w:rPr>
            </w:pPr>
            <w:r>
              <w:rPr>
                <w:rFonts w:hint="eastAsia" w:ascii="宋体" w:hAnsi="宋体" w:eastAsia="宋体"/>
                <w:sz w:val="24"/>
                <w:lang w:eastAsia="zh-Hans"/>
              </w:rPr>
              <w:t>上海信飞：如上所述，明珠数科：如上所述</w:t>
            </w:r>
          </w:p>
          <w:p>
            <w:pPr>
              <w:snapToGrid w:val="0"/>
              <w:spacing w:before="156" w:beforeLines="50" w:after="156" w:afterLines="50"/>
              <w:rPr>
                <w:rFonts w:ascii="宋体" w:hAnsi="宋体" w:eastAsia="宋体"/>
                <w:sz w:val="24"/>
                <w:lang w:eastAsia="zh-Hans"/>
              </w:rPr>
            </w:pPr>
            <w:r>
              <w:rPr>
                <w:rFonts w:hint="eastAsia" w:ascii="宋体" w:hAnsi="宋体" w:eastAsia="宋体"/>
                <w:sz w:val="24"/>
                <w:lang w:eastAsia="zh-Hans"/>
              </w:rPr>
              <w:t>2</w:t>
            </w:r>
            <w:r>
              <w:rPr>
                <w:rFonts w:ascii="宋体" w:hAnsi="宋体" w:eastAsia="宋体"/>
                <w:sz w:val="24"/>
                <w:lang w:eastAsia="zh-Hans"/>
              </w:rPr>
              <w:t>.</w:t>
            </w:r>
            <w:r>
              <w:rPr>
                <w:rFonts w:hint="eastAsia" w:ascii="宋体" w:hAnsi="宋体" w:eastAsia="宋体"/>
                <w:sz w:val="24"/>
                <w:lang w:eastAsia="zh-Hans"/>
              </w:rPr>
              <w:t>上游：2</w:t>
            </w:r>
            <w:r>
              <w:rPr>
                <w:rFonts w:ascii="宋体" w:hAnsi="宋体" w:eastAsia="宋体"/>
                <w:sz w:val="24"/>
                <w:lang w:eastAsia="zh-Hans"/>
              </w:rPr>
              <w:t>021</w:t>
            </w:r>
            <w:r>
              <w:rPr>
                <w:rFonts w:hint="eastAsia" w:ascii="宋体" w:hAnsi="宋体" w:eastAsia="宋体"/>
                <w:sz w:val="24"/>
                <w:lang w:eastAsia="zh-Hans"/>
              </w:rPr>
              <w:t>年中国境内网络小额贷款服务市场</w:t>
            </w:r>
          </w:p>
          <w:p>
            <w:pPr>
              <w:snapToGrid w:val="0"/>
              <w:spacing w:before="156" w:beforeLines="50" w:after="156" w:afterLines="50"/>
              <w:rPr>
                <w:rFonts w:ascii="宋体" w:hAnsi="宋体" w:eastAsia="宋体"/>
                <w:sz w:val="24"/>
                <w:lang w:eastAsia="zh-Hans"/>
              </w:rPr>
            </w:pPr>
            <w:r>
              <w:rPr>
                <w:rFonts w:hint="eastAsia" w:ascii="宋体" w:hAnsi="宋体" w:eastAsia="宋体"/>
                <w:sz w:val="24"/>
                <w:lang w:eastAsia="zh-Hans"/>
              </w:rPr>
              <w:t>明珠数科：如上所述</w:t>
            </w:r>
          </w:p>
          <w:p>
            <w:pPr>
              <w:snapToGrid w:val="0"/>
              <w:spacing w:before="156" w:beforeLines="50" w:after="156" w:afterLines="50"/>
              <w:rPr>
                <w:rFonts w:ascii="宋体" w:hAnsi="宋体" w:eastAsia="宋体"/>
                <w:sz w:val="24"/>
                <w:lang w:eastAsia="zh-Hans"/>
              </w:rPr>
            </w:pPr>
            <w:r>
              <w:rPr>
                <w:rFonts w:hint="eastAsia" w:ascii="宋体" w:hAnsi="宋体" w:eastAsia="宋体"/>
                <w:sz w:val="24"/>
                <w:lang w:eastAsia="zh-Hans"/>
              </w:rPr>
              <w:t>下游：2021年中国境内互联网消费金融助贷市场</w:t>
            </w:r>
          </w:p>
          <w:p>
            <w:pPr>
              <w:snapToGrid w:val="0"/>
              <w:spacing w:before="156" w:beforeLines="50" w:after="156" w:afterLines="50"/>
              <w:rPr>
                <w:rFonts w:ascii="宋体" w:hAnsi="宋体" w:eastAsia="宋体"/>
                <w:sz w:val="24"/>
                <w:lang w:eastAsia="zh-Hans"/>
              </w:rPr>
            </w:pPr>
            <w:r>
              <w:rPr>
                <w:rFonts w:hint="eastAsia" w:ascii="宋体" w:hAnsi="宋体" w:eastAsia="宋体"/>
                <w:sz w:val="24"/>
                <w:lang w:eastAsia="zh-Hans"/>
              </w:rPr>
              <w:t>上海信飞：如上所述，明珠数科：如上所述</w:t>
            </w:r>
          </w:p>
          <w:p>
            <w:pPr>
              <w:snapToGrid w:val="0"/>
              <w:spacing w:before="156" w:beforeLines="50" w:after="156" w:afterLines="50"/>
              <w:rPr>
                <w:rFonts w:ascii="宋体" w:hAnsi="宋体" w:eastAsia="宋体"/>
                <w:b/>
                <w:bCs/>
                <w:sz w:val="24"/>
                <w:lang w:eastAsia="zh-Hans"/>
              </w:rPr>
            </w:pPr>
            <w:r>
              <w:rPr>
                <w:rFonts w:hint="eastAsia" w:ascii="宋体" w:hAnsi="宋体" w:eastAsia="宋体"/>
                <w:b/>
                <w:bCs/>
                <w:sz w:val="24"/>
                <w:lang w:eastAsia="zh-Hans"/>
              </w:rPr>
              <w:t>混合集中：</w:t>
            </w:r>
          </w:p>
          <w:p>
            <w:pPr>
              <w:snapToGrid w:val="0"/>
              <w:spacing w:before="156" w:beforeLines="50" w:after="156" w:afterLines="50"/>
              <w:rPr>
                <w:rFonts w:ascii="宋体" w:hAnsi="宋体" w:eastAsia="宋体"/>
                <w:sz w:val="24"/>
                <w:lang w:eastAsia="zh-Hans"/>
              </w:rPr>
            </w:pPr>
            <w:r>
              <w:rPr>
                <w:rFonts w:ascii="宋体" w:hAnsi="宋体" w:eastAsia="宋体"/>
                <w:sz w:val="24"/>
                <w:lang w:eastAsia="zh-Hans"/>
              </w:rPr>
              <w:t>2021</w:t>
            </w:r>
            <w:r>
              <w:rPr>
                <w:rFonts w:hint="eastAsia" w:ascii="宋体" w:hAnsi="宋体" w:eastAsia="宋体"/>
                <w:sz w:val="24"/>
                <w:lang w:eastAsia="zh-Hans"/>
              </w:rPr>
              <w:t>年中国境内商业保理服务市场</w:t>
            </w:r>
          </w:p>
          <w:p>
            <w:pPr>
              <w:pStyle w:val="2"/>
              <w:numPr>
                <w:ilvl w:val="0"/>
                <w:numId w:val="0"/>
              </w:numPr>
              <w:spacing w:before="156" w:beforeLines="50" w:after="156" w:afterLines="50"/>
              <w:ind w:left="420" w:hanging="420"/>
              <w:jc w:val="both"/>
              <w:rPr>
                <w:rFonts w:ascii="宋体" w:hAnsi="宋体" w:eastAsia="宋体"/>
                <w:bCs w:val="0"/>
                <w:kern w:val="2"/>
                <w:sz w:val="24"/>
                <w:szCs w:val="24"/>
                <w:lang w:eastAsia="zh-Hans"/>
              </w:rPr>
            </w:pPr>
            <w:r>
              <w:rPr>
                <w:rFonts w:hint="eastAsia" w:ascii="宋体" w:hAnsi="宋体" w:eastAsia="宋体"/>
                <w:bCs w:val="0"/>
                <w:kern w:val="2"/>
                <w:sz w:val="24"/>
                <w:szCs w:val="24"/>
                <w:lang w:eastAsia="zh-Hans"/>
              </w:rPr>
              <w:t>明珠数科：0</w:t>
            </w:r>
            <w:r>
              <w:rPr>
                <w:rFonts w:ascii="宋体" w:hAnsi="宋体" w:eastAsia="宋体"/>
                <w:bCs w:val="0"/>
                <w:kern w:val="2"/>
                <w:sz w:val="24"/>
                <w:szCs w:val="24"/>
                <w:lang w:eastAsia="zh-Hans"/>
              </w:rPr>
              <w:t>-5%</w:t>
            </w:r>
          </w:p>
        </w:tc>
      </w:tr>
    </w:tbl>
    <w:p/>
    <w:sectPr>
      <w:pgSz w:w="11906" w:h="16838"/>
      <w:pgMar w:top="1440" w:right="1800" w:bottom="1276"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650DCC"/>
    <w:multiLevelType w:val="multilevel"/>
    <w:tmpl w:val="53650DC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D434B06"/>
    <w:multiLevelType w:val="multilevel"/>
    <w:tmpl w:val="7D434B06"/>
    <w:lvl w:ilvl="0" w:tentative="0">
      <w:start w:val="1"/>
      <w:numFmt w:val="ideographDigital"/>
      <w:pStyle w:val="2"/>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4667"/>
    <w:rsid w:val="00007C20"/>
    <w:rsid w:val="00011278"/>
    <w:rsid w:val="00035281"/>
    <w:rsid w:val="000A05B4"/>
    <w:rsid w:val="000E0833"/>
    <w:rsid w:val="001222A2"/>
    <w:rsid w:val="00123F47"/>
    <w:rsid w:val="00197367"/>
    <w:rsid w:val="00200135"/>
    <w:rsid w:val="00263F0F"/>
    <w:rsid w:val="0029273A"/>
    <w:rsid w:val="00296825"/>
    <w:rsid w:val="002A4693"/>
    <w:rsid w:val="002B23FB"/>
    <w:rsid w:val="00327023"/>
    <w:rsid w:val="0033075A"/>
    <w:rsid w:val="003A26E0"/>
    <w:rsid w:val="003B3F86"/>
    <w:rsid w:val="003F06AA"/>
    <w:rsid w:val="00493A6E"/>
    <w:rsid w:val="005C6BAE"/>
    <w:rsid w:val="006150F3"/>
    <w:rsid w:val="00647265"/>
    <w:rsid w:val="006544B7"/>
    <w:rsid w:val="007D074A"/>
    <w:rsid w:val="007E6E43"/>
    <w:rsid w:val="00865266"/>
    <w:rsid w:val="00900046"/>
    <w:rsid w:val="009171B7"/>
    <w:rsid w:val="009C1941"/>
    <w:rsid w:val="009C7E42"/>
    <w:rsid w:val="00A13C2E"/>
    <w:rsid w:val="00A40B81"/>
    <w:rsid w:val="00A84668"/>
    <w:rsid w:val="00AD4667"/>
    <w:rsid w:val="00B45396"/>
    <w:rsid w:val="00BC5261"/>
    <w:rsid w:val="00BF4A69"/>
    <w:rsid w:val="00CC5F6F"/>
    <w:rsid w:val="00D433DD"/>
    <w:rsid w:val="00D4632C"/>
    <w:rsid w:val="00D81866"/>
    <w:rsid w:val="00DB4263"/>
    <w:rsid w:val="00E44881"/>
    <w:rsid w:val="00E57473"/>
    <w:rsid w:val="00E649F3"/>
    <w:rsid w:val="00E779B2"/>
    <w:rsid w:val="00E95094"/>
    <w:rsid w:val="00EA0BB7"/>
    <w:rsid w:val="00ED5A63"/>
    <w:rsid w:val="00EF3144"/>
    <w:rsid w:val="00F0282E"/>
    <w:rsid w:val="00F1368C"/>
    <w:rsid w:val="00F41197"/>
    <w:rsid w:val="00F41D9A"/>
    <w:rsid w:val="00F54899"/>
    <w:rsid w:val="00F72915"/>
    <w:rsid w:val="00FB2B89"/>
    <w:rsid w:val="00FB7F4F"/>
    <w:rsid w:val="00FE69A0"/>
    <w:rsid w:val="1BDF0E0B"/>
    <w:rsid w:val="1F2B32B5"/>
    <w:rsid w:val="57FFE2F1"/>
    <w:rsid w:val="5CACF7C7"/>
    <w:rsid w:val="5FBF1408"/>
    <w:rsid w:val="5FD74F1A"/>
    <w:rsid w:val="637EA32F"/>
    <w:rsid w:val="6F79674D"/>
    <w:rsid w:val="6FF970B4"/>
    <w:rsid w:val="77FE1E84"/>
    <w:rsid w:val="77FFCA88"/>
    <w:rsid w:val="784C6633"/>
    <w:rsid w:val="7AF214FA"/>
    <w:rsid w:val="7B795961"/>
    <w:rsid w:val="7BEFB07D"/>
    <w:rsid w:val="7D47DF65"/>
    <w:rsid w:val="7DBB048A"/>
    <w:rsid w:val="BAE1827C"/>
    <w:rsid w:val="BDFC41BF"/>
    <w:rsid w:val="C77E7668"/>
    <w:rsid w:val="CDD3FAA1"/>
    <w:rsid w:val="CFFD5C11"/>
    <w:rsid w:val="DEEF1579"/>
    <w:rsid w:val="DF7FC732"/>
    <w:rsid w:val="DF9F0D95"/>
    <w:rsid w:val="EFFDE630"/>
    <w:rsid w:val="F67AA0C8"/>
    <w:rsid w:val="FD7FCC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0"/>
      <w:szCs w:val="24"/>
      <w:lang w:val="en-US" w:eastAsia="zh-CN" w:bidi="ar-SA"/>
    </w:rPr>
  </w:style>
  <w:style w:type="paragraph" w:styleId="2">
    <w:name w:val="heading 1"/>
    <w:basedOn w:val="3"/>
    <w:next w:val="1"/>
    <w:qFormat/>
    <w:uiPriority w:val="0"/>
    <w:pPr>
      <w:keepNext/>
      <w:keepLines/>
      <w:numPr>
        <w:ilvl w:val="0"/>
        <w:numId w:val="1"/>
      </w:numPr>
      <w:outlineLvl w:val="0"/>
    </w:pPr>
    <w:rPr>
      <w:rFonts w:eastAsia="黑体"/>
      <w:bCs/>
      <w:kern w:val="44"/>
      <w:sz w:val="30"/>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3">
    <w:name w:val="名称2"/>
    <w:basedOn w:val="4"/>
    <w:qFormat/>
    <w:uiPriority w:val="0"/>
    <w:pPr>
      <w:spacing w:after="312" w:afterLines="100"/>
    </w:pPr>
    <w:rPr>
      <w:b w:val="0"/>
      <w:sz w:val="20"/>
    </w:rPr>
  </w:style>
  <w:style w:type="paragraph" w:customStyle="1" w:styleId="4">
    <w:name w:val="名称"/>
    <w:basedOn w:val="1"/>
    <w:qFormat/>
    <w:uiPriority w:val="0"/>
    <w:pPr>
      <w:jc w:val="center"/>
    </w:pPr>
    <w:rPr>
      <w:b/>
      <w:kern w:val="0"/>
      <w:sz w:val="44"/>
      <w:szCs w:val="20"/>
    </w:rPr>
  </w:style>
  <w:style w:type="paragraph" w:styleId="5">
    <w:name w:val="annotation text"/>
    <w:basedOn w:val="1"/>
    <w:link w:val="15"/>
    <w:qFormat/>
    <w:uiPriority w:val="0"/>
    <w:pPr>
      <w:jc w:val="left"/>
    </w:pPr>
  </w:style>
  <w:style w:type="paragraph" w:styleId="6">
    <w:name w:val="footer"/>
    <w:basedOn w:val="1"/>
    <w:link w:val="14"/>
    <w:qFormat/>
    <w:uiPriority w:val="0"/>
    <w:pPr>
      <w:tabs>
        <w:tab w:val="center" w:pos="4153"/>
        <w:tab w:val="right" w:pos="8306"/>
      </w:tabs>
      <w:snapToGrid w:val="0"/>
      <w:jc w:val="left"/>
    </w:pPr>
    <w:rPr>
      <w:sz w:val="18"/>
      <w:szCs w:val="18"/>
    </w:rPr>
  </w:style>
  <w:style w:type="paragraph" w:styleId="7">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8">
    <w:name w:val="annotation subject"/>
    <w:basedOn w:val="5"/>
    <w:next w:val="5"/>
    <w:link w:val="16"/>
    <w:qFormat/>
    <w:uiPriority w:val="0"/>
    <w:rPr>
      <w:b/>
      <w:bCs/>
    </w:rPr>
  </w:style>
  <w:style w:type="character" w:styleId="11">
    <w:name w:val="annotation reference"/>
    <w:basedOn w:val="10"/>
    <w:qFormat/>
    <w:uiPriority w:val="0"/>
    <w:rPr>
      <w:sz w:val="21"/>
      <w:szCs w:val="21"/>
    </w:rPr>
  </w:style>
  <w:style w:type="paragraph" w:styleId="12">
    <w:name w:val="List Paragraph"/>
    <w:basedOn w:val="1"/>
    <w:qFormat/>
    <w:uiPriority w:val="99"/>
    <w:pPr>
      <w:ind w:firstLine="420" w:firstLineChars="200"/>
    </w:pPr>
  </w:style>
  <w:style w:type="character" w:customStyle="1" w:styleId="13">
    <w:name w:val="頁首 字元"/>
    <w:basedOn w:val="10"/>
    <w:link w:val="7"/>
    <w:qFormat/>
    <w:uiPriority w:val="0"/>
    <w:rPr>
      <w:rFonts w:eastAsia="仿宋_GB2312"/>
      <w:kern w:val="2"/>
      <w:sz w:val="18"/>
      <w:szCs w:val="18"/>
    </w:rPr>
  </w:style>
  <w:style w:type="character" w:customStyle="1" w:styleId="14">
    <w:name w:val="頁尾 字元"/>
    <w:basedOn w:val="10"/>
    <w:link w:val="6"/>
    <w:qFormat/>
    <w:uiPriority w:val="0"/>
    <w:rPr>
      <w:rFonts w:eastAsia="仿宋_GB2312"/>
      <w:kern w:val="2"/>
      <w:sz w:val="18"/>
      <w:szCs w:val="18"/>
    </w:rPr>
  </w:style>
  <w:style w:type="character" w:customStyle="1" w:styleId="15">
    <w:name w:val="註解文字 字元"/>
    <w:basedOn w:val="10"/>
    <w:link w:val="5"/>
    <w:qFormat/>
    <w:uiPriority w:val="0"/>
    <w:rPr>
      <w:rFonts w:eastAsia="仿宋_GB2312"/>
      <w:kern w:val="2"/>
      <w:sz w:val="30"/>
      <w:szCs w:val="24"/>
    </w:rPr>
  </w:style>
  <w:style w:type="character" w:customStyle="1" w:styleId="16">
    <w:name w:val="註解主旨 字元"/>
    <w:basedOn w:val="15"/>
    <w:link w:val="8"/>
    <w:qFormat/>
    <w:uiPriority w:val="0"/>
    <w:rPr>
      <w:rFonts w:eastAsia="仿宋_GB2312"/>
      <w:b/>
      <w:bCs/>
      <w:kern w:val="2"/>
      <w:sz w:val="30"/>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232</Words>
  <Characters>1327</Characters>
  <Lines>11</Lines>
  <Paragraphs>3</Paragraphs>
  <TotalTime>54</TotalTime>
  <ScaleCrop>false</ScaleCrop>
  <LinksUpToDate>false</LinksUpToDate>
  <CharactersWithSpaces>1556</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2023-01-13T04:48:00Z</dcterms:created>
  <dc:creator>ljjroo</dc:creator>
  <cp:lastModifiedBy>HJ</cp:lastModifiedBy>
  <dcterms:modified xsi:type="dcterms:W3CDTF">2023-03-08T14:00:02Z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y fmtid="{D5CDD505-2E9C-101B-9397-08002B2CF9AE}" pid="3" name="ICV">
    <vt:lpwstr>26926B3D4DD421C2BE80BF630414B6B6</vt:lpwstr>
  </property>
</Properties>
</file>