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sz w:val="36"/>
          <w:szCs w:val="36"/>
          <w:lang w:val="en-GB"/>
        </w:rPr>
      </w:pPr>
      <w:bookmarkStart w:id="0" w:name="_GoBack"/>
      <w:r>
        <w:rPr>
          <w:rFonts w:hint="eastAsia" w:ascii="黑体" w:hAnsi="黑体" w:eastAsia="黑体"/>
          <w:sz w:val="36"/>
          <w:szCs w:val="36"/>
          <w:lang w:val="en-GB"/>
        </w:rPr>
        <w:t>经营者集中简易案件公示表</w:t>
      </w:r>
      <w:bookmarkEnd w:id="0"/>
    </w:p>
    <w:tbl>
      <w:tblPr>
        <w:tblStyle w:val="5"/>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2"/>
        <w:gridCol w:w="1747"/>
        <w:gridCol w:w="5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2" w:type="dxa"/>
            <w:shd w:val="clear" w:color="auto" w:fill="D9D9D9"/>
            <w:noWrap w:val="0"/>
            <w:vAlign w:val="top"/>
          </w:tcPr>
          <w:p>
            <w:pPr>
              <w:adjustRightInd w:val="0"/>
              <w:snapToGrid w:val="0"/>
              <w:jc w:val="center"/>
              <w:rPr>
                <w:rFonts w:hint="eastAsia" w:ascii="宋体" w:hAnsi="宋体" w:cs="宋体"/>
                <w:color w:val="333333"/>
                <w:kern w:val="0"/>
                <w:szCs w:val="21"/>
                <w:lang w:val="en-GB"/>
              </w:rPr>
            </w:pPr>
            <w:r>
              <w:rPr>
                <w:rFonts w:hint="eastAsia" w:ascii="宋体" w:hAnsi="宋体" w:cs="宋体"/>
                <w:color w:val="333333"/>
                <w:kern w:val="0"/>
                <w:szCs w:val="21"/>
                <w:lang w:val="en-GB"/>
              </w:rPr>
              <w:t>案件名称</w:t>
            </w:r>
          </w:p>
        </w:tc>
        <w:tc>
          <w:tcPr>
            <w:tcW w:w="7136" w:type="dxa"/>
            <w:gridSpan w:val="2"/>
            <w:noWrap w:val="0"/>
            <w:vAlign w:val="center"/>
          </w:tcPr>
          <w:p>
            <w:pPr>
              <w:adjustRightInd w:val="0"/>
              <w:snapToGrid w:val="0"/>
              <w:jc w:val="left"/>
              <w:rPr>
                <w:rFonts w:hint="eastAsia" w:ascii="宋体" w:hAnsi="宋体" w:cs="宋体"/>
                <w:color w:val="333333"/>
                <w:kern w:val="0"/>
                <w:szCs w:val="21"/>
                <w:lang w:val="en-GB"/>
              </w:rPr>
            </w:pPr>
            <w:r>
              <w:rPr>
                <w:rFonts w:hint="eastAsia" w:ascii="宋体" w:hAnsi="宋体" w:cs="宋体"/>
                <w:color w:val="333333"/>
                <w:kern w:val="0"/>
                <w:szCs w:val="21"/>
                <w:lang w:val="en-GB"/>
              </w:rPr>
              <w:t>立讯精密工业股份有限公司与广州汽车集团股份有限公司等经营者新设合营企业案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1622" w:type="dxa"/>
            <w:shd w:val="clear" w:color="auto" w:fill="D9D9D9"/>
            <w:noWrap w:val="0"/>
            <w:vAlign w:val="top"/>
          </w:tcPr>
          <w:p>
            <w:pPr>
              <w:pStyle w:val="3"/>
              <w:rPr>
                <w:rFonts w:ascii="宋体" w:hAnsi="宋体"/>
                <w:sz w:val="24"/>
                <w:szCs w:val="24"/>
                <w:lang w:val="en-GB"/>
              </w:rPr>
            </w:pPr>
            <w:r>
              <w:rPr>
                <w:rFonts w:hint="eastAsia" w:ascii="宋体" w:hAnsi="宋体"/>
                <w:sz w:val="24"/>
                <w:szCs w:val="24"/>
                <w:lang w:val="en-GB"/>
              </w:rPr>
              <w:t>交易概况（限</w:t>
            </w:r>
            <w:r>
              <w:rPr>
                <w:rFonts w:ascii="宋体" w:hAnsi="宋体"/>
                <w:sz w:val="24"/>
                <w:szCs w:val="24"/>
                <w:lang w:val="en-GB"/>
              </w:rPr>
              <w:t>200</w:t>
            </w:r>
            <w:r>
              <w:rPr>
                <w:rFonts w:hint="eastAsia" w:ascii="宋体" w:hAnsi="宋体"/>
                <w:sz w:val="24"/>
                <w:szCs w:val="24"/>
                <w:lang w:val="en-GB"/>
              </w:rPr>
              <w:t>字内）</w:t>
            </w:r>
          </w:p>
        </w:tc>
        <w:tc>
          <w:tcPr>
            <w:tcW w:w="7136" w:type="dxa"/>
            <w:gridSpan w:val="2"/>
            <w:noWrap w:val="0"/>
            <w:vAlign w:val="top"/>
          </w:tcPr>
          <w:p>
            <w:pPr>
              <w:pStyle w:val="3"/>
              <w:rPr>
                <w:rFonts w:ascii="宋体" w:hAnsi="宋体"/>
                <w:sz w:val="24"/>
                <w:szCs w:val="24"/>
                <w:lang w:val="en-GB"/>
              </w:rPr>
            </w:pPr>
            <w:r>
              <w:rPr>
                <w:rFonts w:hint="eastAsia" w:ascii="宋体" w:hAnsi="宋体"/>
                <w:sz w:val="24"/>
                <w:szCs w:val="24"/>
                <w:lang w:val="en-GB"/>
              </w:rPr>
              <w:t>立讯精密工业股份有限公司（</w:t>
            </w:r>
            <w:r>
              <w:rPr>
                <w:rFonts w:hint="eastAsia" w:ascii="宋体" w:hAnsi="宋体"/>
                <w:bCs/>
                <w:sz w:val="24"/>
                <w:szCs w:val="24"/>
                <w:lang w:val="en-GB"/>
              </w:rPr>
              <w:t>“</w:t>
            </w:r>
            <w:r>
              <w:rPr>
                <w:rFonts w:hint="eastAsia" w:ascii="宋体" w:hAnsi="宋体"/>
                <w:b/>
                <w:bCs/>
                <w:sz w:val="24"/>
                <w:szCs w:val="24"/>
                <w:lang w:val="en-GB"/>
              </w:rPr>
              <w:t>立讯精密</w:t>
            </w:r>
            <w:r>
              <w:rPr>
                <w:rFonts w:hint="eastAsia" w:ascii="宋体" w:hAnsi="宋体"/>
                <w:bCs/>
                <w:sz w:val="24"/>
                <w:szCs w:val="24"/>
                <w:lang w:val="en-GB"/>
              </w:rPr>
              <w:t>”</w:t>
            </w:r>
            <w:r>
              <w:rPr>
                <w:rFonts w:hint="eastAsia" w:ascii="宋体" w:hAnsi="宋体"/>
                <w:sz w:val="24"/>
                <w:szCs w:val="24"/>
                <w:lang w:val="en-GB"/>
              </w:rPr>
              <w:t>）与广州汽车集团股份有限公司（</w:t>
            </w:r>
            <w:r>
              <w:rPr>
                <w:rFonts w:hint="eastAsia" w:ascii="宋体" w:hAnsi="宋体"/>
                <w:bCs/>
                <w:sz w:val="24"/>
                <w:szCs w:val="24"/>
                <w:lang w:val="en-GB"/>
              </w:rPr>
              <w:t>“</w:t>
            </w:r>
            <w:r>
              <w:rPr>
                <w:rFonts w:hint="eastAsia" w:ascii="宋体" w:hAnsi="宋体"/>
                <w:b/>
                <w:bCs/>
                <w:sz w:val="24"/>
                <w:szCs w:val="24"/>
                <w:lang w:val="en-GB"/>
              </w:rPr>
              <w:t>广汽集团</w:t>
            </w:r>
            <w:r>
              <w:rPr>
                <w:rFonts w:hint="eastAsia" w:ascii="宋体" w:hAnsi="宋体"/>
                <w:bCs/>
                <w:sz w:val="24"/>
                <w:szCs w:val="24"/>
                <w:lang w:val="en-GB"/>
              </w:rPr>
              <w:t>”</w:t>
            </w:r>
            <w:r>
              <w:rPr>
                <w:rFonts w:hint="eastAsia" w:ascii="宋体" w:hAnsi="宋体"/>
                <w:sz w:val="24"/>
                <w:szCs w:val="24"/>
                <w:lang w:val="en-GB"/>
              </w:rPr>
              <w:t>）、广汽零部件有限公司（</w:t>
            </w:r>
            <w:r>
              <w:rPr>
                <w:rFonts w:hint="eastAsia" w:ascii="宋体" w:hAnsi="宋体"/>
                <w:bCs/>
                <w:sz w:val="24"/>
                <w:szCs w:val="24"/>
                <w:lang w:val="en-GB"/>
              </w:rPr>
              <w:t>“</w:t>
            </w:r>
            <w:r>
              <w:rPr>
                <w:rFonts w:hint="eastAsia" w:ascii="宋体" w:hAnsi="宋体"/>
                <w:b/>
                <w:bCs/>
                <w:sz w:val="24"/>
                <w:szCs w:val="24"/>
                <w:lang w:val="en-GB"/>
              </w:rPr>
              <w:t>广汽零部件</w:t>
            </w:r>
            <w:r>
              <w:rPr>
                <w:rFonts w:hint="eastAsia" w:ascii="宋体" w:hAnsi="宋体"/>
                <w:bCs/>
                <w:sz w:val="24"/>
                <w:szCs w:val="24"/>
                <w:lang w:val="en-GB"/>
              </w:rPr>
              <w:t>”</w:t>
            </w:r>
            <w:r>
              <w:rPr>
                <w:rFonts w:hint="eastAsia" w:ascii="宋体" w:hAnsi="宋体"/>
                <w:sz w:val="24"/>
                <w:szCs w:val="24"/>
                <w:lang w:val="en-GB"/>
              </w:rPr>
              <w:t>）以及广州立昇企业管理咨询合伙企业（</w:t>
            </w:r>
            <w:r>
              <w:rPr>
                <w:rFonts w:hint="eastAsia" w:ascii="宋体" w:hAnsi="宋体"/>
                <w:bCs/>
                <w:sz w:val="24"/>
                <w:szCs w:val="24"/>
                <w:lang w:val="en-GB"/>
              </w:rPr>
              <w:t>“</w:t>
            </w:r>
            <w:r>
              <w:rPr>
                <w:rFonts w:hint="eastAsia" w:ascii="宋体" w:hAnsi="宋体"/>
                <w:b/>
                <w:bCs/>
                <w:sz w:val="24"/>
                <w:szCs w:val="24"/>
                <w:lang w:val="en-GB"/>
              </w:rPr>
              <w:t>广州立昇</w:t>
            </w:r>
            <w:r>
              <w:rPr>
                <w:rFonts w:hint="eastAsia" w:ascii="宋体" w:hAnsi="宋体"/>
                <w:bCs/>
                <w:sz w:val="24"/>
                <w:szCs w:val="24"/>
                <w:lang w:val="en-GB"/>
              </w:rPr>
              <w:t>”</w:t>
            </w:r>
            <w:r>
              <w:rPr>
                <w:rFonts w:hint="eastAsia" w:ascii="宋体" w:hAnsi="宋体"/>
                <w:sz w:val="24"/>
                <w:szCs w:val="24"/>
                <w:lang w:val="en-GB"/>
              </w:rPr>
              <w:t>）拟签署合资协议，共同新设合营企业（“</w:t>
            </w:r>
            <w:r>
              <w:rPr>
                <w:rFonts w:hint="eastAsia" w:ascii="宋体" w:hAnsi="宋体"/>
                <w:b/>
                <w:sz w:val="24"/>
                <w:szCs w:val="24"/>
                <w:lang w:val="en-GB"/>
              </w:rPr>
              <w:t>合营企业</w:t>
            </w:r>
            <w:r>
              <w:rPr>
                <w:rFonts w:hint="eastAsia" w:ascii="宋体" w:hAnsi="宋体"/>
                <w:sz w:val="24"/>
                <w:szCs w:val="24"/>
                <w:lang w:val="en-GB"/>
              </w:rPr>
              <w:t>”），从事汽车控制器生产制造业务。本次交易完成后，立讯精密、广汽集团、广汽零部件和广州立昇将分别持有合营企业4</w:t>
            </w:r>
            <w:r>
              <w:rPr>
                <w:rFonts w:ascii="宋体" w:hAnsi="宋体"/>
                <w:sz w:val="24"/>
                <w:szCs w:val="24"/>
                <w:lang w:val="en-GB"/>
              </w:rPr>
              <w:t>5</w:t>
            </w:r>
            <w:r>
              <w:rPr>
                <w:rFonts w:hint="eastAsia" w:ascii="宋体" w:hAnsi="宋体"/>
                <w:sz w:val="24"/>
                <w:szCs w:val="24"/>
                <w:lang w:val="en-GB"/>
              </w:rPr>
              <w:t>%、2</w:t>
            </w:r>
            <w:r>
              <w:rPr>
                <w:rFonts w:ascii="宋体" w:hAnsi="宋体"/>
                <w:sz w:val="24"/>
                <w:szCs w:val="24"/>
                <w:lang w:val="en-GB"/>
              </w:rPr>
              <w:t>5</w:t>
            </w:r>
            <w:r>
              <w:rPr>
                <w:rFonts w:hint="eastAsia" w:ascii="宋体" w:hAnsi="宋体"/>
                <w:sz w:val="24"/>
                <w:szCs w:val="24"/>
                <w:lang w:val="en-GB"/>
              </w:rPr>
              <w:t>%、2</w:t>
            </w:r>
            <w:r>
              <w:rPr>
                <w:rFonts w:ascii="宋体" w:hAnsi="宋体"/>
                <w:sz w:val="24"/>
                <w:szCs w:val="24"/>
                <w:lang w:val="en-GB"/>
              </w:rPr>
              <w:t>0</w:t>
            </w:r>
            <w:r>
              <w:rPr>
                <w:rFonts w:hint="eastAsia" w:ascii="宋体" w:hAnsi="宋体"/>
                <w:sz w:val="24"/>
                <w:szCs w:val="24"/>
                <w:lang w:val="en-GB"/>
              </w:rPr>
              <w:t>%和1</w:t>
            </w:r>
            <w:r>
              <w:rPr>
                <w:rFonts w:ascii="宋体" w:hAnsi="宋体"/>
                <w:sz w:val="24"/>
                <w:szCs w:val="24"/>
                <w:lang w:val="en-GB"/>
              </w:rPr>
              <w:t>0</w:t>
            </w:r>
            <w:r>
              <w:rPr>
                <w:rFonts w:hint="eastAsia" w:ascii="宋体" w:hAnsi="宋体"/>
                <w:sz w:val="24"/>
                <w:szCs w:val="24"/>
                <w:lang w:val="en-GB"/>
              </w:rPr>
              <w:t>%股权，并共同控制合营企业。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22" w:type="dxa"/>
            <w:vMerge w:val="restart"/>
            <w:shd w:val="clear" w:color="auto" w:fill="D9D9D9"/>
            <w:noWrap w:val="0"/>
            <w:vAlign w:val="top"/>
          </w:tcPr>
          <w:p>
            <w:pPr>
              <w:pStyle w:val="3"/>
              <w:rPr>
                <w:rFonts w:ascii="宋体" w:hAnsi="宋体"/>
                <w:sz w:val="24"/>
                <w:szCs w:val="24"/>
                <w:lang w:val="en-GB"/>
              </w:rPr>
            </w:pPr>
            <w:r>
              <w:rPr>
                <w:rFonts w:hint="eastAsia" w:ascii="宋体" w:hAnsi="宋体"/>
                <w:sz w:val="24"/>
                <w:szCs w:val="24"/>
                <w:lang w:val="en-GB"/>
              </w:rPr>
              <w:t>参与集中的经营者简介</w:t>
            </w:r>
          </w:p>
        </w:tc>
        <w:tc>
          <w:tcPr>
            <w:tcW w:w="1747" w:type="dxa"/>
            <w:noWrap w:val="0"/>
            <w:vAlign w:val="top"/>
          </w:tcPr>
          <w:p>
            <w:pPr>
              <w:pStyle w:val="3"/>
              <w:rPr>
                <w:rFonts w:ascii="宋体" w:hAnsi="宋体"/>
                <w:sz w:val="24"/>
                <w:szCs w:val="24"/>
                <w:lang w:val="en-GB"/>
              </w:rPr>
            </w:pPr>
            <w:r>
              <w:rPr>
                <w:rFonts w:ascii="宋体" w:hAnsi="宋体"/>
                <w:sz w:val="24"/>
                <w:szCs w:val="24"/>
                <w:lang w:val="en-GB"/>
              </w:rPr>
              <w:t>1</w:t>
            </w:r>
            <w:r>
              <w:rPr>
                <w:rFonts w:hint="eastAsia" w:ascii="宋体" w:hAnsi="宋体"/>
                <w:sz w:val="24"/>
                <w:szCs w:val="24"/>
                <w:lang w:val="en-GB"/>
              </w:rPr>
              <w:t>、立讯精密</w:t>
            </w:r>
          </w:p>
        </w:tc>
        <w:tc>
          <w:tcPr>
            <w:tcW w:w="5389" w:type="dxa"/>
            <w:noWrap w:val="0"/>
            <w:vAlign w:val="top"/>
          </w:tcPr>
          <w:p>
            <w:pPr>
              <w:pStyle w:val="3"/>
              <w:rPr>
                <w:rFonts w:hint="eastAsia" w:ascii="宋体" w:hAnsi="宋体"/>
                <w:sz w:val="24"/>
                <w:szCs w:val="24"/>
                <w:lang w:val="en-GB"/>
              </w:rPr>
            </w:pPr>
            <w:r>
              <w:rPr>
                <w:rFonts w:hint="eastAsia" w:ascii="宋体" w:hAnsi="宋体"/>
                <w:sz w:val="24"/>
                <w:szCs w:val="24"/>
                <w:lang w:val="en-GB"/>
              </w:rPr>
              <w:t>立讯精密于2004年5月24日成立于广东省深圳市，为深圳证券交易所上市公司，主要业务为电脑、消费性电子产品等。</w:t>
            </w:r>
          </w:p>
          <w:p>
            <w:pPr>
              <w:pStyle w:val="3"/>
              <w:rPr>
                <w:rFonts w:ascii="宋体" w:hAnsi="宋体"/>
                <w:sz w:val="24"/>
                <w:szCs w:val="24"/>
                <w:lang w:val="en-GB"/>
              </w:rPr>
            </w:pPr>
            <w:r>
              <w:rPr>
                <w:rFonts w:hint="eastAsia" w:ascii="宋体" w:hAnsi="宋体"/>
                <w:sz w:val="24"/>
                <w:szCs w:val="24"/>
                <w:lang w:val="en-GB"/>
              </w:rPr>
              <w:t>立讯精密最终控制人为立讯有限公司，主要业务为连接器、连接线、电子模块以及消费性电子产品的生产制造等。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622" w:type="dxa"/>
            <w:vMerge w:val="continue"/>
            <w:shd w:val="clear" w:color="auto" w:fill="D9D9D9"/>
            <w:noWrap w:val="0"/>
            <w:vAlign w:val="top"/>
          </w:tcPr>
          <w:p>
            <w:pPr>
              <w:spacing w:line="500" w:lineRule="exact"/>
              <w:rPr>
                <w:rFonts w:ascii="宋体" w:hAnsi="宋体"/>
                <w:sz w:val="24"/>
                <w:szCs w:val="24"/>
              </w:rPr>
            </w:pPr>
          </w:p>
        </w:tc>
        <w:tc>
          <w:tcPr>
            <w:tcW w:w="1747" w:type="dxa"/>
            <w:noWrap w:val="0"/>
            <w:vAlign w:val="top"/>
          </w:tcPr>
          <w:p>
            <w:pPr>
              <w:pStyle w:val="3"/>
              <w:rPr>
                <w:rFonts w:ascii="宋体" w:hAnsi="宋体"/>
                <w:sz w:val="24"/>
                <w:szCs w:val="24"/>
                <w:lang w:val="en-GB"/>
              </w:rPr>
            </w:pPr>
            <w:r>
              <w:rPr>
                <w:rFonts w:ascii="宋体" w:hAnsi="宋体"/>
                <w:sz w:val="24"/>
                <w:szCs w:val="24"/>
                <w:lang w:val="en-GB"/>
              </w:rPr>
              <w:t>2</w:t>
            </w:r>
            <w:r>
              <w:rPr>
                <w:rFonts w:hint="eastAsia" w:ascii="宋体" w:hAnsi="宋体"/>
                <w:sz w:val="24"/>
                <w:szCs w:val="24"/>
                <w:lang w:val="en-GB"/>
              </w:rPr>
              <w:t>、广汽集团</w:t>
            </w:r>
          </w:p>
        </w:tc>
        <w:tc>
          <w:tcPr>
            <w:tcW w:w="5389" w:type="dxa"/>
            <w:noWrap w:val="0"/>
            <w:vAlign w:val="top"/>
          </w:tcPr>
          <w:p>
            <w:pPr>
              <w:pStyle w:val="3"/>
              <w:rPr>
                <w:rFonts w:ascii="宋体" w:hAnsi="宋体"/>
                <w:sz w:val="24"/>
                <w:szCs w:val="24"/>
                <w:lang w:val="en-GB"/>
              </w:rPr>
            </w:pPr>
            <w:r>
              <w:rPr>
                <w:rFonts w:hint="eastAsia" w:ascii="宋体" w:hAnsi="宋体"/>
                <w:sz w:val="24"/>
                <w:szCs w:val="24"/>
                <w:lang w:val="en-GB"/>
              </w:rPr>
              <w:t>广汽集团于1</w:t>
            </w:r>
            <w:r>
              <w:rPr>
                <w:rFonts w:ascii="宋体" w:hAnsi="宋体"/>
                <w:sz w:val="24"/>
                <w:szCs w:val="24"/>
                <w:lang w:val="en-GB"/>
              </w:rPr>
              <w:t>997</w:t>
            </w:r>
            <w:r>
              <w:rPr>
                <w:rFonts w:hint="eastAsia" w:ascii="宋体" w:hAnsi="宋体"/>
                <w:sz w:val="24"/>
                <w:szCs w:val="24"/>
                <w:lang w:val="en-GB"/>
              </w:rPr>
              <w:t>年6月6日成立于广东省广州市，为上海证券交易所上市公司，主要业务为汽车研发、制造、销售等。</w:t>
            </w:r>
          </w:p>
          <w:p>
            <w:pPr>
              <w:pStyle w:val="3"/>
              <w:rPr>
                <w:rFonts w:ascii="宋体" w:hAnsi="宋体"/>
                <w:sz w:val="24"/>
                <w:szCs w:val="24"/>
                <w:lang w:val="en-GB"/>
              </w:rPr>
            </w:pPr>
            <w:r>
              <w:rPr>
                <w:rFonts w:hint="eastAsia" w:ascii="宋体" w:hAnsi="宋体"/>
                <w:sz w:val="24"/>
                <w:szCs w:val="24"/>
                <w:lang w:val="en-GB"/>
              </w:rPr>
              <w:t>广汽集团最终控制人为广州汽车工业集团有限公司，主要业务为汽车整车及零部件的设计与制造等。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1622" w:type="dxa"/>
            <w:vMerge w:val="continue"/>
            <w:shd w:val="clear" w:color="auto" w:fill="D9D9D9"/>
            <w:noWrap w:val="0"/>
            <w:vAlign w:val="top"/>
          </w:tcPr>
          <w:p>
            <w:pPr>
              <w:spacing w:line="500" w:lineRule="exact"/>
              <w:rPr>
                <w:rFonts w:ascii="宋体" w:hAnsi="宋体"/>
                <w:sz w:val="24"/>
                <w:szCs w:val="24"/>
              </w:rPr>
            </w:pPr>
          </w:p>
        </w:tc>
        <w:tc>
          <w:tcPr>
            <w:tcW w:w="1747" w:type="dxa"/>
            <w:noWrap w:val="0"/>
            <w:vAlign w:val="top"/>
          </w:tcPr>
          <w:p>
            <w:pPr>
              <w:pStyle w:val="3"/>
              <w:rPr>
                <w:rFonts w:ascii="宋体" w:hAnsi="宋体"/>
                <w:sz w:val="24"/>
                <w:szCs w:val="24"/>
                <w:lang w:val="en-GB"/>
              </w:rPr>
            </w:pPr>
            <w:r>
              <w:rPr>
                <w:rFonts w:hint="eastAsia" w:ascii="宋体" w:hAnsi="宋体"/>
                <w:sz w:val="24"/>
                <w:szCs w:val="24"/>
                <w:lang w:val="en-GB"/>
              </w:rPr>
              <w:t>3、广汽零部件</w:t>
            </w:r>
          </w:p>
        </w:tc>
        <w:tc>
          <w:tcPr>
            <w:tcW w:w="5389" w:type="dxa"/>
            <w:noWrap w:val="0"/>
            <w:vAlign w:val="top"/>
          </w:tcPr>
          <w:p>
            <w:pPr>
              <w:pStyle w:val="3"/>
              <w:rPr>
                <w:rFonts w:hint="eastAsia" w:ascii="宋体" w:hAnsi="宋体"/>
                <w:sz w:val="24"/>
                <w:szCs w:val="24"/>
                <w:lang w:val="en-GB"/>
              </w:rPr>
            </w:pPr>
            <w:r>
              <w:rPr>
                <w:rFonts w:hint="eastAsia" w:ascii="宋体" w:hAnsi="宋体"/>
                <w:sz w:val="24"/>
                <w:szCs w:val="24"/>
                <w:lang w:val="en-GB"/>
              </w:rPr>
              <w:t>广汽零部件于2000年8月29日成立于广东省广州市，主要业务为汽车零部件制造、销售等。</w:t>
            </w:r>
          </w:p>
          <w:p>
            <w:pPr>
              <w:pStyle w:val="3"/>
              <w:rPr>
                <w:rFonts w:ascii="宋体" w:hAnsi="宋体"/>
                <w:sz w:val="24"/>
                <w:szCs w:val="24"/>
                <w:lang w:val="en-GB"/>
              </w:rPr>
            </w:pPr>
            <w:r>
              <w:rPr>
                <w:rFonts w:hint="eastAsia" w:ascii="宋体" w:hAnsi="宋体"/>
                <w:sz w:val="24"/>
                <w:szCs w:val="24"/>
                <w:lang w:val="en-GB"/>
              </w:rPr>
              <w:t>广汽零部件最终控制人为广州汽车工业集团有限公司，主要业务为汽车整车及零部件的设计与制造等。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2" w:type="dxa"/>
            <w:vMerge w:val="restart"/>
            <w:shd w:val="clear" w:color="auto" w:fill="D9D9D9"/>
            <w:noWrap w:val="0"/>
            <w:vAlign w:val="top"/>
          </w:tcPr>
          <w:p>
            <w:pPr>
              <w:pStyle w:val="3"/>
              <w:rPr>
                <w:rFonts w:ascii="宋体" w:hAnsi="宋体"/>
                <w:sz w:val="24"/>
                <w:szCs w:val="24"/>
                <w:lang w:val="en-GB"/>
              </w:rPr>
            </w:pPr>
            <w:r>
              <w:rPr>
                <w:rFonts w:hint="eastAsia" w:ascii="宋体" w:hAnsi="宋体"/>
                <w:sz w:val="24"/>
                <w:szCs w:val="24"/>
                <w:lang w:val="en-GB"/>
              </w:rPr>
              <w:t>上简易案件理由（可以单选，也可以多选）</w:t>
            </w:r>
          </w:p>
        </w:tc>
        <w:tc>
          <w:tcPr>
            <w:tcW w:w="7136" w:type="dxa"/>
            <w:gridSpan w:val="2"/>
            <w:noWrap w:val="0"/>
            <w:vAlign w:val="top"/>
          </w:tcPr>
          <w:p>
            <w:pPr>
              <w:pStyle w:val="3"/>
              <w:rPr>
                <w:rFonts w:ascii="宋体" w:hAnsi="宋体"/>
                <w:sz w:val="24"/>
                <w:szCs w:val="24"/>
                <w:lang w:val="en-GB"/>
              </w:rPr>
            </w:pPr>
            <w:r>
              <w:rPr>
                <w:rFonts w:hint="eastAsia" w:ascii="宋体" w:hAnsi="宋体"/>
                <w:sz w:val="24"/>
                <w:szCs w:val="24"/>
                <w:lang w:val="en-GB" w:eastAsia="zh-CN"/>
              </w:rPr>
              <w:t>□</w:t>
            </w:r>
            <w:r>
              <w:rPr>
                <w:rFonts w:hint="eastAsia" w:ascii="宋体" w:hAnsi="宋体"/>
                <w:sz w:val="24"/>
                <w:szCs w:val="24"/>
                <w:lang w:val="en-GB"/>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2" w:type="dxa"/>
            <w:vMerge w:val="continue"/>
            <w:shd w:val="clear" w:color="auto" w:fill="D9D9D9"/>
            <w:noWrap w:val="0"/>
            <w:vAlign w:val="top"/>
          </w:tcPr>
          <w:p>
            <w:pPr>
              <w:pStyle w:val="3"/>
              <w:rPr>
                <w:rFonts w:ascii="宋体" w:hAnsi="宋体"/>
                <w:sz w:val="24"/>
                <w:szCs w:val="24"/>
                <w:lang w:val="en-GB"/>
              </w:rPr>
            </w:pPr>
          </w:p>
        </w:tc>
        <w:tc>
          <w:tcPr>
            <w:tcW w:w="7136" w:type="dxa"/>
            <w:gridSpan w:val="2"/>
            <w:noWrap w:val="0"/>
            <w:vAlign w:val="top"/>
          </w:tcPr>
          <w:p>
            <w:pPr>
              <w:pStyle w:val="3"/>
              <w:rPr>
                <w:rFonts w:ascii="宋体" w:hAnsi="宋体"/>
                <w:sz w:val="24"/>
                <w:szCs w:val="24"/>
                <w:lang w:val="en-GB"/>
              </w:rPr>
            </w:pPr>
            <w:r>
              <w:rPr>
                <w:rFonts w:ascii="宋体" w:hAnsi="宋体"/>
                <w:sz w:val="24"/>
                <w:szCs w:val="24"/>
                <w:lang w:val="en-GB"/>
              </w:rPr>
              <w:sym w:font="Wingdings" w:char="00FE"/>
            </w:r>
            <w:r>
              <w:rPr>
                <w:rFonts w:hint="eastAsia" w:ascii="宋体" w:hAnsi="宋体"/>
                <w:sz w:val="24"/>
                <w:szCs w:val="24"/>
                <w:lang w:val="en-GB"/>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2" w:type="dxa"/>
            <w:vMerge w:val="continue"/>
            <w:shd w:val="clear" w:color="auto" w:fill="D9D9D9"/>
            <w:noWrap w:val="0"/>
            <w:vAlign w:val="top"/>
          </w:tcPr>
          <w:p>
            <w:pPr>
              <w:pStyle w:val="3"/>
              <w:rPr>
                <w:rFonts w:ascii="宋体" w:hAnsi="宋体"/>
                <w:sz w:val="24"/>
                <w:szCs w:val="24"/>
                <w:lang w:val="en-GB"/>
              </w:rPr>
            </w:pPr>
          </w:p>
        </w:tc>
        <w:tc>
          <w:tcPr>
            <w:tcW w:w="7136" w:type="dxa"/>
            <w:gridSpan w:val="2"/>
            <w:noWrap w:val="0"/>
            <w:vAlign w:val="top"/>
          </w:tcPr>
          <w:p>
            <w:pPr>
              <w:pStyle w:val="3"/>
              <w:rPr>
                <w:rFonts w:ascii="宋体" w:hAnsi="宋体"/>
                <w:sz w:val="24"/>
                <w:szCs w:val="24"/>
                <w:lang w:val="en-GB"/>
              </w:rPr>
            </w:pPr>
            <w:r>
              <w:rPr>
                <w:rFonts w:hint="eastAsia" w:ascii="宋体" w:hAnsi="宋体"/>
                <w:sz w:val="24"/>
                <w:szCs w:val="24"/>
                <w:lang w:val="en-GB"/>
              </w:rPr>
              <w:t>□</w:t>
            </w:r>
            <w:r>
              <w:rPr>
                <w:rFonts w:ascii="宋体" w:hAnsi="宋体"/>
                <w:sz w:val="24"/>
                <w:szCs w:val="24"/>
                <w:lang w:val="en-GB"/>
              </w:rPr>
              <w:t>3</w:t>
            </w:r>
            <w:r>
              <w:rPr>
                <w:rFonts w:hint="eastAsia" w:ascii="宋体" w:hAnsi="宋体"/>
                <w:sz w:val="24"/>
                <w:szCs w:val="24"/>
                <w:lang w:val="en-GB"/>
              </w:rPr>
              <w:t>、不在同一相关市场、也不存在上下游关系的参与集中的经营者，在与交易有关的每个市场所占的份额均小于</w:t>
            </w:r>
            <w:r>
              <w:rPr>
                <w:rFonts w:ascii="宋体" w:hAnsi="宋体"/>
                <w:sz w:val="24"/>
                <w:szCs w:val="24"/>
                <w:lang w:val="en-GB"/>
              </w:rPr>
              <w:t>25%</w:t>
            </w:r>
            <w:r>
              <w:rPr>
                <w:rFonts w:hint="eastAsia" w:ascii="宋体" w:hAnsi="宋体"/>
                <w:sz w:val="24"/>
                <w:szCs w:val="24"/>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2" w:type="dxa"/>
            <w:vMerge w:val="continue"/>
            <w:shd w:val="clear" w:color="auto" w:fill="D9D9D9"/>
            <w:noWrap w:val="0"/>
            <w:vAlign w:val="top"/>
          </w:tcPr>
          <w:p>
            <w:pPr>
              <w:pStyle w:val="3"/>
              <w:rPr>
                <w:rFonts w:ascii="宋体" w:hAnsi="宋体"/>
                <w:sz w:val="24"/>
                <w:szCs w:val="24"/>
                <w:lang w:val="en-GB"/>
              </w:rPr>
            </w:pPr>
          </w:p>
        </w:tc>
        <w:tc>
          <w:tcPr>
            <w:tcW w:w="7136" w:type="dxa"/>
            <w:gridSpan w:val="2"/>
            <w:noWrap w:val="0"/>
            <w:vAlign w:val="top"/>
          </w:tcPr>
          <w:p>
            <w:pPr>
              <w:pStyle w:val="3"/>
              <w:rPr>
                <w:rFonts w:ascii="宋体" w:hAnsi="宋体"/>
                <w:sz w:val="24"/>
                <w:szCs w:val="24"/>
                <w:lang w:val="en-GB"/>
              </w:rPr>
            </w:pPr>
            <w:r>
              <w:rPr>
                <w:rFonts w:hint="eastAsia" w:ascii="宋体" w:hAnsi="宋体"/>
                <w:sz w:val="24"/>
                <w:szCs w:val="24"/>
                <w:lang w:val="en-GB"/>
              </w:rPr>
              <w:t>□</w:t>
            </w:r>
            <w:r>
              <w:rPr>
                <w:rFonts w:ascii="宋体" w:hAnsi="宋体"/>
                <w:sz w:val="24"/>
                <w:szCs w:val="24"/>
                <w:lang w:val="en-GB"/>
              </w:rPr>
              <w:t>4</w:t>
            </w:r>
            <w:r>
              <w:rPr>
                <w:rFonts w:hint="eastAsia" w:ascii="宋体" w:hAnsi="宋体"/>
                <w:sz w:val="24"/>
                <w:szCs w:val="24"/>
                <w:lang w:val="en-GB"/>
              </w:rPr>
              <w:t>、参与集中的经营者在中国境外设立合营企业，合营企业不在中国境内从事经济活动。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2" w:type="dxa"/>
            <w:vMerge w:val="continue"/>
            <w:shd w:val="clear" w:color="auto" w:fill="D9D9D9"/>
            <w:noWrap w:val="0"/>
            <w:vAlign w:val="top"/>
          </w:tcPr>
          <w:p>
            <w:pPr>
              <w:pStyle w:val="3"/>
              <w:rPr>
                <w:rFonts w:ascii="宋体" w:hAnsi="宋体"/>
                <w:sz w:val="24"/>
                <w:szCs w:val="24"/>
                <w:lang w:val="en-GB"/>
              </w:rPr>
            </w:pPr>
          </w:p>
        </w:tc>
        <w:tc>
          <w:tcPr>
            <w:tcW w:w="7136" w:type="dxa"/>
            <w:gridSpan w:val="2"/>
            <w:noWrap w:val="0"/>
            <w:vAlign w:val="top"/>
          </w:tcPr>
          <w:p>
            <w:pPr>
              <w:pStyle w:val="3"/>
              <w:rPr>
                <w:rFonts w:ascii="宋体" w:hAnsi="宋体"/>
                <w:sz w:val="24"/>
                <w:szCs w:val="24"/>
                <w:lang w:val="en-GB"/>
              </w:rPr>
            </w:pPr>
            <w:r>
              <w:rPr>
                <w:rFonts w:hint="eastAsia" w:ascii="宋体" w:hAnsi="宋体"/>
                <w:sz w:val="24"/>
                <w:szCs w:val="24"/>
                <w:lang w:val="en-GB"/>
              </w:rPr>
              <w:t>□</w:t>
            </w:r>
            <w:r>
              <w:rPr>
                <w:rFonts w:ascii="宋体" w:hAnsi="宋体"/>
                <w:sz w:val="24"/>
                <w:szCs w:val="24"/>
                <w:lang w:val="en-GB"/>
              </w:rPr>
              <w:t>5</w:t>
            </w:r>
            <w:r>
              <w:rPr>
                <w:rFonts w:hint="eastAsia" w:ascii="宋体" w:hAnsi="宋体"/>
                <w:sz w:val="24"/>
                <w:szCs w:val="24"/>
                <w:lang w:val="en-GB"/>
              </w:rPr>
              <w:t>、参与集中的经营者收购境外企业股权或资产的，该境外企业不在中国境内从事经济活动。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2" w:type="dxa"/>
            <w:vMerge w:val="continue"/>
            <w:shd w:val="clear" w:color="auto" w:fill="D9D9D9"/>
            <w:noWrap w:val="0"/>
            <w:vAlign w:val="top"/>
          </w:tcPr>
          <w:p>
            <w:pPr>
              <w:pStyle w:val="3"/>
              <w:rPr>
                <w:rFonts w:ascii="宋体" w:hAnsi="宋体"/>
                <w:sz w:val="24"/>
                <w:szCs w:val="24"/>
                <w:lang w:val="en-GB"/>
              </w:rPr>
            </w:pPr>
          </w:p>
        </w:tc>
        <w:tc>
          <w:tcPr>
            <w:tcW w:w="7136" w:type="dxa"/>
            <w:gridSpan w:val="2"/>
            <w:noWrap w:val="0"/>
            <w:vAlign w:val="top"/>
          </w:tcPr>
          <w:p>
            <w:pPr>
              <w:pStyle w:val="3"/>
              <w:rPr>
                <w:rFonts w:ascii="宋体" w:hAnsi="宋体"/>
                <w:sz w:val="24"/>
                <w:szCs w:val="24"/>
                <w:lang w:val="en-GB"/>
              </w:rPr>
            </w:pPr>
            <w:r>
              <w:rPr>
                <w:rFonts w:hint="eastAsia" w:ascii="宋体" w:hAnsi="宋体"/>
                <w:sz w:val="24"/>
                <w:szCs w:val="24"/>
                <w:lang w:val="en-GB"/>
              </w:rPr>
              <w:t>□</w:t>
            </w:r>
            <w:r>
              <w:rPr>
                <w:rFonts w:ascii="宋体" w:hAnsi="宋体"/>
                <w:sz w:val="24"/>
                <w:szCs w:val="24"/>
                <w:lang w:val="en-GB"/>
              </w:rPr>
              <w:t>6</w:t>
            </w:r>
            <w:r>
              <w:rPr>
                <w:rFonts w:hint="eastAsia" w:ascii="宋体" w:hAnsi="宋体"/>
                <w:sz w:val="24"/>
                <w:szCs w:val="24"/>
                <w:lang w:val="en-GB"/>
              </w:rPr>
              <w:t>、由两个以上的经营者共同控制的合营企业，通过集中被其中一个或一个以上经营者控制。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1622" w:type="dxa"/>
            <w:shd w:val="clear" w:color="auto" w:fill="D9D9D9"/>
            <w:noWrap w:val="0"/>
            <w:vAlign w:val="top"/>
          </w:tcPr>
          <w:p>
            <w:pPr>
              <w:pStyle w:val="3"/>
              <w:rPr>
                <w:rFonts w:ascii="宋体" w:hAnsi="宋体"/>
                <w:sz w:val="24"/>
                <w:szCs w:val="24"/>
              </w:rPr>
            </w:pPr>
            <w:r>
              <w:rPr>
                <w:rFonts w:hint="eastAsia" w:ascii="宋体" w:hAnsi="宋体"/>
                <w:sz w:val="24"/>
                <w:szCs w:val="24"/>
                <w:lang w:val="en-GB"/>
              </w:rPr>
              <w:t>备注</w:t>
            </w:r>
          </w:p>
        </w:tc>
        <w:tc>
          <w:tcPr>
            <w:tcW w:w="7136" w:type="dxa"/>
            <w:gridSpan w:val="2"/>
            <w:noWrap w:val="0"/>
            <w:vAlign w:val="center"/>
          </w:tcPr>
          <w:p>
            <w:pPr>
              <w:pStyle w:val="4"/>
              <w:adjustRightInd w:val="0"/>
              <w:snapToGrid w:val="0"/>
              <w:spacing w:after="0"/>
              <w:rPr>
                <w:rFonts w:ascii="宋体" w:hAnsi="宋体" w:cs="宋体"/>
                <w:b/>
                <w:color w:val="000000"/>
                <w:lang w:eastAsia="zh-CN"/>
              </w:rPr>
            </w:pPr>
            <w:r>
              <w:rPr>
                <w:rFonts w:hint="eastAsia" w:ascii="宋体" w:hAnsi="宋体" w:cs="宋体"/>
                <w:b/>
                <w:color w:val="000000"/>
                <w:lang w:eastAsia="zh-CN"/>
              </w:rPr>
              <w:t>纵向关联：</w:t>
            </w:r>
          </w:p>
          <w:p>
            <w:pPr>
              <w:widowControl/>
              <w:adjustRightInd w:val="0"/>
              <w:snapToGrid w:val="0"/>
              <w:jc w:val="left"/>
              <w:rPr>
                <w:rFonts w:hint="eastAsia" w:ascii="宋体" w:hAnsi="宋体" w:eastAsia="宋体" w:cs="Times New Roman"/>
                <w:kern w:val="2"/>
                <w:sz w:val="24"/>
                <w:szCs w:val="24"/>
                <w:lang w:val="en-GB" w:eastAsia="zh-CN" w:bidi="ar-SA"/>
              </w:rPr>
            </w:pPr>
            <w:r>
              <w:rPr>
                <w:rFonts w:hint="eastAsia" w:ascii="宋体" w:hAnsi="宋体" w:eastAsia="宋体" w:cs="Times New Roman"/>
                <w:kern w:val="2"/>
                <w:sz w:val="24"/>
                <w:szCs w:val="24"/>
                <w:lang w:val="en-GB" w:eastAsia="zh-CN" w:bidi="ar-SA"/>
              </w:rPr>
              <w:t>上游：2022年中国境内汽车控制器产品市场</w:t>
            </w:r>
          </w:p>
          <w:p>
            <w:pPr>
              <w:widowControl/>
              <w:adjustRightInd w:val="0"/>
              <w:snapToGrid w:val="0"/>
              <w:jc w:val="left"/>
              <w:rPr>
                <w:rFonts w:hint="eastAsia" w:ascii="宋体" w:hAnsi="宋体" w:eastAsia="宋体" w:cs="Times New Roman"/>
                <w:kern w:val="2"/>
                <w:sz w:val="24"/>
                <w:szCs w:val="24"/>
                <w:lang w:val="en-GB" w:eastAsia="zh-CN" w:bidi="ar-SA"/>
              </w:rPr>
            </w:pPr>
            <w:r>
              <w:rPr>
                <w:rFonts w:hint="eastAsia" w:ascii="宋体" w:hAnsi="宋体" w:eastAsia="宋体" w:cs="Times New Roman"/>
                <w:kern w:val="2"/>
                <w:sz w:val="24"/>
                <w:szCs w:val="24"/>
                <w:lang w:val="en-GB" w:eastAsia="zh-CN" w:bidi="ar-SA"/>
              </w:rPr>
              <w:t>合营企业预估：0-3%</w:t>
            </w:r>
          </w:p>
          <w:p>
            <w:pPr>
              <w:widowControl/>
              <w:adjustRightInd w:val="0"/>
              <w:snapToGrid w:val="0"/>
              <w:jc w:val="left"/>
              <w:rPr>
                <w:rFonts w:hint="eastAsia" w:ascii="宋体" w:hAnsi="宋体" w:eastAsia="宋体" w:cs="Times New Roman"/>
                <w:kern w:val="2"/>
                <w:sz w:val="24"/>
                <w:szCs w:val="24"/>
                <w:lang w:val="en-GB" w:eastAsia="zh-CN" w:bidi="ar-SA"/>
              </w:rPr>
            </w:pPr>
            <w:r>
              <w:rPr>
                <w:rFonts w:hint="eastAsia" w:ascii="宋体" w:hAnsi="宋体" w:eastAsia="宋体" w:cs="Times New Roman"/>
                <w:kern w:val="2"/>
                <w:sz w:val="24"/>
                <w:szCs w:val="24"/>
                <w:lang w:val="en-GB" w:eastAsia="zh-CN" w:bidi="ar-SA"/>
              </w:rPr>
              <w:t>下游：2022年中国境内乘用车整车市场</w:t>
            </w:r>
          </w:p>
          <w:p>
            <w:pPr>
              <w:widowControl/>
              <w:adjustRightInd w:val="0"/>
              <w:snapToGrid w:val="0"/>
              <w:jc w:val="left"/>
              <w:rPr>
                <w:rFonts w:hint="eastAsia" w:ascii="宋体" w:hAnsi="宋体" w:cs="宋体"/>
                <w:color w:val="000000"/>
                <w:lang w:eastAsia="zh-CN"/>
              </w:rPr>
            </w:pPr>
            <w:r>
              <w:rPr>
                <w:rFonts w:hint="eastAsia" w:ascii="宋体" w:hAnsi="宋体" w:eastAsia="宋体" w:cs="Times New Roman"/>
                <w:kern w:val="2"/>
                <w:sz w:val="24"/>
                <w:szCs w:val="24"/>
                <w:lang w:val="en-GB" w:eastAsia="zh-CN" w:bidi="ar-SA"/>
              </w:rPr>
              <w:t>广汽集团：2-5%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C14175"/>
    <w:rsid w:val="6C107EC3"/>
    <w:rsid w:val="7D700E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after="156" w:afterLines="50" w:line="640" w:lineRule="exact"/>
      <w:outlineLvl w:val="0"/>
    </w:pPr>
    <w:rPr>
      <w:rFonts w:ascii="方正小标宋简体" w:eastAsia="方正小标宋简体"/>
      <w:sz w:val="44"/>
      <w:szCs w:val="36"/>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2023-05-26T13:19:17Z</dcterms:created>
  <dc:creator>ljjroo</dc:creator>
  <cp:lastModifiedBy>一咦已翌</cp:lastModifiedBy>
  <dcterms:modified xsi:type="dcterms:W3CDTF">2023-06-05T15:21:37Z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