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bCs/>
          <w:sz w:val="36"/>
          <w:szCs w:val="36"/>
        </w:rPr>
      </w:pPr>
      <w:r>
        <w:rPr>
          <w:rFonts w:eastAsia="黑体"/>
          <w:bCs/>
          <w:sz w:val="36"/>
          <w:szCs w:val="36"/>
        </w:rPr>
        <w:t>经营者集中简易案件公示表</w:t>
      </w:r>
    </w:p>
    <w:tbl>
      <w:tblPr>
        <w:tblStyle w:val="8"/>
        <w:tblW w:w="9102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1607"/>
        <w:gridCol w:w="55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pStyle w:val="3"/>
              <w:widowControl w:val="0"/>
              <w:autoSpaceDE w:val="0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</w:rPr>
            </w:pPr>
            <w:r>
              <w:rPr>
                <w:rFonts w:cs="Times New Roman"/>
                <w:bCs/>
                <w:color w:val="000000"/>
              </w:rPr>
              <w:t>案件名称</w:t>
            </w:r>
          </w:p>
        </w:tc>
        <w:tc>
          <w:tcPr>
            <w:tcW w:w="7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adjustRightInd w:val="0"/>
              <w:snapToGrid w:val="0"/>
              <w:spacing w:after="0"/>
              <w:rPr>
                <w:bCs/>
                <w:color w:val="000000"/>
              </w:rPr>
            </w:pPr>
            <w:bookmarkStart w:id="0" w:name="OLE_LINK5"/>
            <w:bookmarkStart w:id="1" w:name="OLE_LINK6"/>
            <w:r>
              <w:rPr>
                <w:szCs w:val="21"/>
              </w:rPr>
              <w:t>KKR公司</w:t>
            </w:r>
            <w:bookmarkEnd w:id="0"/>
            <w:bookmarkEnd w:id="1"/>
            <w:r>
              <w:rPr>
                <w:szCs w:val="21"/>
              </w:rPr>
              <w:t>收购瑞人堂医药集团股份有限公司股权案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pStyle w:val="3"/>
              <w:widowControl w:val="0"/>
              <w:autoSpaceDE w:val="0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</w:rPr>
            </w:pPr>
            <w:r>
              <w:rPr>
                <w:rFonts w:cs="Times New Roman"/>
                <w:bCs/>
                <w:color w:val="000000"/>
              </w:rPr>
              <w:t>交易概况（限200字内）</w:t>
            </w:r>
          </w:p>
        </w:tc>
        <w:tc>
          <w:tcPr>
            <w:tcW w:w="7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adjustRightInd w:val="0"/>
              <w:snapToGrid w:val="0"/>
              <w:spacing w:after="0"/>
            </w:pPr>
            <w:r>
              <w:rPr>
                <w:rFonts w:hint="eastAsia"/>
              </w:rPr>
              <w:t>2</w:t>
            </w:r>
            <w:r>
              <w:t>023</w:t>
            </w:r>
            <w:r>
              <w:rPr>
                <w:rFonts w:hint="eastAsia"/>
              </w:rPr>
              <w:t>年9月</w:t>
            </w:r>
            <w:r>
              <w:t>1</w:t>
            </w:r>
            <w:r>
              <w:rPr>
                <w:rFonts w:hint="eastAsia"/>
              </w:rPr>
              <w:t>日，KKR公司</w:t>
            </w:r>
            <w:r>
              <w:t>（</w:t>
            </w:r>
            <w:r>
              <w:rPr>
                <w:rFonts w:hint="eastAsia"/>
              </w:rPr>
              <w:t>“</w:t>
            </w:r>
            <w:r>
              <w:rPr>
                <w:b/>
                <w:bCs/>
              </w:rPr>
              <w:t>KKR</w:t>
            </w:r>
            <w:r>
              <w:rPr>
                <w:rFonts w:hint="eastAsia"/>
                <w:b/>
                <w:bCs/>
              </w:rPr>
              <w:t>公司</w:t>
            </w:r>
            <w:r>
              <w:rPr>
                <w:rFonts w:hint="eastAsia"/>
              </w:rPr>
              <w:t>”，</w:t>
            </w:r>
            <w:r>
              <w:t>及其</w:t>
            </w:r>
            <w:r>
              <w:rPr>
                <w:rFonts w:hint="eastAsia"/>
              </w:rPr>
              <w:t>附属公司</w:t>
            </w:r>
            <w:r>
              <w:t>合称为</w:t>
            </w:r>
            <w:r>
              <w:rPr>
                <w:rFonts w:hint="eastAsia"/>
              </w:rPr>
              <w:t>“</w:t>
            </w:r>
            <w:r>
              <w:rPr>
                <w:b/>
                <w:bCs/>
              </w:rPr>
              <w:t>KKR</w:t>
            </w:r>
            <w:r>
              <w:rPr>
                <w:rFonts w:hint="eastAsia"/>
              </w:rPr>
              <w:t>”</w:t>
            </w:r>
            <w:r>
              <w:t>）</w:t>
            </w:r>
            <w:r>
              <w:rPr>
                <w:rFonts w:hint="eastAsia"/>
              </w:rPr>
              <w:t>通过一家特殊目的公司，即中国药房投资私人有限公司（“</w:t>
            </w:r>
            <w:r>
              <w:rPr>
                <w:rFonts w:hint="eastAsia"/>
                <w:b/>
                <w:bCs/>
              </w:rPr>
              <w:t>中国药房</w:t>
            </w:r>
            <w:r>
              <w:rPr>
                <w:rFonts w:hint="eastAsia"/>
              </w:rPr>
              <w:t>”）与上海盛焱</w:t>
            </w:r>
            <w:r>
              <w:t>医疗科技合伙企业（有限合伙）</w:t>
            </w:r>
            <w:r>
              <w:rPr>
                <w:rFonts w:hint="eastAsia"/>
              </w:rPr>
              <w:t>等自然人和实体签署《投资协议》。根据该协议，中国药房将间接收购瑞人堂医药集团股份有限公司（“</w:t>
            </w:r>
            <w:r>
              <w:rPr>
                <w:rFonts w:hint="eastAsia"/>
                <w:b/>
                <w:bCs/>
              </w:rPr>
              <w:t>瑞人堂</w:t>
            </w:r>
            <w:r>
              <w:rPr>
                <w:rFonts w:hint="eastAsia"/>
              </w:rPr>
              <w:t>”）共计80%股权。瑞人堂主要在中国境内从事药品零售业务。</w:t>
            </w:r>
          </w:p>
          <w:p>
            <w:pPr>
              <w:widowControl w:val="0"/>
              <w:autoSpaceDE w:val="0"/>
              <w:adjustRightInd w:val="0"/>
              <w:snapToGrid w:val="0"/>
              <w:spacing w:after="0"/>
            </w:pPr>
            <w:r>
              <w:rPr>
                <w:rFonts w:hint="eastAsia"/>
              </w:rPr>
              <w:t>本次交易前，瑞人堂由自然人间接持有其75.73%的股权并单独控制。本次交易后，由KKR提供咨询和管理的投资基金、工具和/或账户将间接持有瑞人堂80%的股权，并单独控制瑞人堂。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94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pStyle w:val="3"/>
              <w:widowControl w:val="0"/>
              <w:autoSpaceDE w:val="0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</w:rPr>
            </w:pPr>
            <w:r>
              <w:rPr>
                <w:rFonts w:cs="Times New Roman"/>
                <w:bCs/>
                <w:color w:val="000000"/>
              </w:rPr>
              <w:t>参与集中的经营者简介（每个限100字以内）</w:t>
            </w: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 w:val="0"/>
              <w:autoSpaceDE w:val="0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</w:rPr>
            </w:pPr>
            <w:r>
              <w:rPr>
                <w:rFonts w:hint="eastAsia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KKR</w:t>
            </w:r>
          </w:p>
        </w:tc>
        <w:tc>
          <w:tcPr>
            <w:tcW w:w="5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 w:val="0"/>
              <w:autoSpaceDE w:val="0"/>
              <w:adjustRightInd w:val="0"/>
              <w:snapToGrid w:val="0"/>
              <w:spacing w:before="0" w:beforeAutospacing="0" w:after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KKR</w:t>
            </w:r>
            <w:r>
              <w:rPr>
                <w:rFonts w:hint="eastAsia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公司于</w:t>
            </w:r>
            <w:r>
              <w:rPr>
                <w:rFonts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1976</w:t>
            </w:r>
            <w:r>
              <w:rPr>
                <w:rFonts w:hint="eastAsia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年作为一家私募股权公司在美国成立。</w:t>
            </w:r>
            <w:r>
              <w:rPr>
                <w:rFonts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KKR</w:t>
            </w:r>
            <w:r>
              <w:rPr>
                <w:rFonts w:hint="eastAsia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公司为纽约证券交易所上市公司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，主要从事投资业务。</w:t>
            </w:r>
          </w:p>
          <w:p>
            <w:pPr>
              <w:pStyle w:val="3"/>
              <w:widowControl w:val="0"/>
              <w:autoSpaceDE w:val="0"/>
              <w:adjustRightInd w:val="0"/>
              <w:snapToGrid w:val="0"/>
              <w:spacing w:after="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K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R的最终控制人为K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KR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管理有限合伙，是一家控股公司。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9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/>
              <w:jc w:val="left"/>
              <w:rPr>
                <w:bCs/>
                <w:color w:val="000000"/>
              </w:rPr>
            </w:pPr>
          </w:p>
        </w:tc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 w:val="0"/>
              <w:autoSpaceDE w:val="0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</w:rPr>
            </w:pPr>
            <w:r>
              <w:rPr>
                <w:rFonts w:hint="eastAsia" w:cs="Times New Roman"/>
                <w:bCs/>
                <w:color w:val="000000"/>
              </w:rPr>
              <w:t>瑞人堂</w:t>
            </w:r>
          </w:p>
        </w:tc>
        <w:tc>
          <w:tcPr>
            <w:tcW w:w="5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autoSpaceDE w:val="0"/>
              <w:adjustRightInd w:val="0"/>
              <w:snapToGrid w:val="0"/>
              <w:spacing w:after="0"/>
            </w:pPr>
            <w:r>
              <w:rPr>
                <w:rFonts w:hint="eastAsia"/>
              </w:rPr>
              <w:t>瑞人堂于2</w:t>
            </w:r>
            <w:r>
              <w:t>003</w:t>
            </w:r>
            <w:r>
              <w:rPr>
                <w:rFonts w:hint="eastAsia"/>
              </w:rPr>
              <w:t>年6月3</w:t>
            </w:r>
            <w:r>
              <w:t>0</w:t>
            </w:r>
            <w:r>
              <w:rPr>
                <w:rFonts w:hint="eastAsia"/>
              </w:rPr>
              <w:t>日在中国</w:t>
            </w:r>
            <w:r>
              <w:t>浙江省台州市</w:t>
            </w:r>
            <w:r>
              <w:rPr>
                <w:rFonts w:hint="eastAsia"/>
              </w:rPr>
              <w:t>成立，主要业务为药品零售业务。</w:t>
            </w:r>
          </w:p>
          <w:p>
            <w:pPr>
              <w:widowControl w:val="0"/>
              <w:autoSpaceDE w:val="0"/>
              <w:adjustRightInd w:val="0"/>
              <w:snapToGrid w:val="0"/>
              <w:spacing w:after="0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瑞人堂的最终控制人为</w:t>
            </w:r>
            <w:r>
              <w:rPr>
                <w:rFonts w:hint="eastAsia"/>
                <w:bCs/>
                <w:color w:val="000000"/>
                <w:lang w:eastAsia="zh-CN"/>
              </w:rPr>
              <w:t>中国籍</w:t>
            </w:r>
            <w:r>
              <w:rPr>
                <w:rFonts w:hint="eastAsia"/>
                <w:bCs/>
                <w:color w:val="000000"/>
              </w:rPr>
              <w:t>自然人，其主要通过多间公司从事药品零售业务，以及一些股权投资、母婴护理等业务。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9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pStyle w:val="3"/>
              <w:widowControl w:val="0"/>
              <w:autoSpaceDE w:val="0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</w:rPr>
            </w:pPr>
            <w:r>
              <w:rPr>
                <w:rFonts w:cs="Times New Roman"/>
                <w:bCs/>
                <w:color w:val="000000"/>
              </w:rPr>
              <w:t>简易案件理由（可以单选，也可以多选）</w:t>
            </w:r>
          </w:p>
        </w:tc>
        <w:tc>
          <w:tcPr>
            <w:tcW w:w="7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 w:val="0"/>
              <w:autoSpaceDE w:val="0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</w:rPr>
            </w:pPr>
            <w:r>
              <w:rPr>
                <w:rFonts w:cs="Times New Roman"/>
                <w:lang w:val="en-GB"/>
              </w:rPr>
              <w:sym w:font="Wingdings" w:char="00FE"/>
            </w:r>
            <w:r>
              <w:rPr>
                <w:rFonts w:cs="Times New Roman"/>
                <w:lang w:val="en-GB"/>
              </w:rPr>
              <w:t xml:space="preserve"> </w:t>
            </w:r>
            <w:r>
              <w:rPr>
                <w:rFonts w:cs="Times New Roman"/>
                <w:bCs/>
                <w:color w:val="000000"/>
              </w:rPr>
              <w:t>1、在同一相关市场，所有参与集中的经营者所占市场份额之和小于15%。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9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/>
              <w:jc w:val="left"/>
              <w:rPr>
                <w:bCs/>
                <w:color w:val="000000"/>
              </w:rPr>
            </w:pPr>
          </w:p>
        </w:tc>
        <w:tc>
          <w:tcPr>
            <w:tcW w:w="7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 w:val="0"/>
              <w:autoSpaceDE w:val="0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</w:rPr>
            </w:pPr>
            <w:r>
              <w:rPr>
                <w:rFonts w:cs="Times New Roman"/>
                <w:lang w:val="en-GB"/>
              </w:rPr>
              <w:sym w:font="Wingdings" w:char="F0A8"/>
            </w:r>
            <w:r>
              <w:rPr>
                <w:rFonts w:cs="Times New Roman"/>
                <w:lang w:val="en-GB"/>
              </w:rPr>
              <w:t xml:space="preserve"> </w:t>
            </w:r>
            <w:r>
              <w:rPr>
                <w:rFonts w:cs="Times New Roman"/>
                <w:bCs/>
                <w:color w:val="000000"/>
              </w:rPr>
              <w:t>2、存在上下游关系的参与集中的经</w:t>
            </w:r>
            <w:bookmarkStart w:id="2" w:name="_GoBack"/>
            <w:bookmarkEnd w:id="2"/>
            <w:r>
              <w:rPr>
                <w:rFonts w:cs="Times New Roman"/>
                <w:bCs/>
                <w:color w:val="000000"/>
              </w:rPr>
              <w:t>营者，在上下游市场所占的市场份额均小于25%。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/>
              <w:jc w:val="left"/>
              <w:rPr>
                <w:bCs/>
                <w:color w:val="000000"/>
              </w:rPr>
            </w:pPr>
          </w:p>
        </w:tc>
        <w:tc>
          <w:tcPr>
            <w:tcW w:w="7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 w:val="0"/>
              <w:autoSpaceDE w:val="0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</w:rPr>
            </w:pPr>
            <w:r>
              <w:rPr>
                <w:rFonts w:cs="Times New Roman"/>
                <w:lang w:val="en-GB"/>
              </w:rPr>
              <w:sym w:font="Wingdings" w:char="F0A8"/>
            </w:r>
            <w:r>
              <w:rPr>
                <w:rFonts w:cs="Times New Roman"/>
                <w:bCs/>
                <w:color w:val="000000"/>
              </w:rPr>
              <w:t xml:space="preserve"> 3、不在同一相关市场、也不存在上下游关系的参与集中的经营者，在与交易有关的每个市场所占的份额均小于25%。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9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/>
              <w:jc w:val="left"/>
              <w:rPr>
                <w:bCs/>
                <w:color w:val="000000"/>
              </w:rPr>
            </w:pPr>
          </w:p>
        </w:tc>
        <w:tc>
          <w:tcPr>
            <w:tcW w:w="7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 w:val="0"/>
              <w:autoSpaceDE w:val="0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</w:rPr>
            </w:pPr>
            <w:r>
              <w:rPr>
                <w:rFonts w:cs="Times New Roman"/>
                <w:lang w:val="en-GB"/>
              </w:rPr>
              <w:sym w:font="Wingdings" w:char="F0A8"/>
            </w:r>
            <w:r>
              <w:rPr>
                <w:rFonts w:cs="Times New Roman"/>
                <w:bCs/>
                <w:color w:val="000000"/>
              </w:rPr>
              <w:t xml:space="preserve"> 4、参与集中的经营者在中国境外设立合营企业，合营企业不在中国境内从事经济活动。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9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/>
              <w:jc w:val="left"/>
              <w:rPr>
                <w:bCs/>
                <w:color w:val="000000"/>
              </w:rPr>
            </w:pPr>
          </w:p>
        </w:tc>
        <w:tc>
          <w:tcPr>
            <w:tcW w:w="7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 w:val="0"/>
              <w:autoSpaceDE w:val="0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</w:rPr>
            </w:pPr>
            <w:r>
              <w:rPr>
                <w:rFonts w:cs="Times New Roman"/>
                <w:lang w:val="en-GB"/>
              </w:rPr>
              <w:sym w:font="Wingdings" w:char="F0A8"/>
            </w:r>
            <w:r>
              <w:rPr>
                <w:rFonts w:cs="Times New Roman"/>
                <w:bCs/>
                <w:color w:val="000000"/>
              </w:rPr>
              <w:t xml:space="preserve"> 5、参与集中的经营者收购境外企业股权或资产的，该境外企业不在中国境内从事经济活动。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9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0" w:beforeAutospacing="0" w:after="0"/>
              <w:jc w:val="left"/>
              <w:rPr>
                <w:bCs/>
                <w:color w:val="000000"/>
              </w:rPr>
            </w:pPr>
          </w:p>
        </w:tc>
        <w:tc>
          <w:tcPr>
            <w:tcW w:w="7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widowControl w:val="0"/>
              <w:autoSpaceDE w:val="0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</w:rPr>
            </w:pPr>
            <w:r>
              <w:rPr>
                <w:rFonts w:cs="Times New Roman"/>
                <w:lang w:val="en-GB"/>
              </w:rPr>
              <w:sym w:font="Wingdings" w:char="F0A8"/>
            </w:r>
            <w:r>
              <w:rPr>
                <w:rFonts w:cs="Times New Roman"/>
                <w:bCs/>
                <w:color w:val="000000"/>
              </w:rPr>
              <w:t xml:space="preserve"> 6、由两个以上的经营者共同控制的合营企业，通过集中被其中一个或一个以上经营者控制。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4" w:hRule="atLeast"/>
        </w:trPr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/>
            <w:vAlign w:val="center"/>
          </w:tcPr>
          <w:p>
            <w:pPr>
              <w:pStyle w:val="3"/>
              <w:widowControl w:val="0"/>
              <w:autoSpaceDE w:val="0"/>
              <w:adjustRightInd w:val="0"/>
              <w:snapToGrid w:val="0"/>
              <w:spacing w:after="0"/>
              <w:rPr>
                <w:rFonts w:cs="Times New Roman"/>
                <w:bCs/>
                <w:color w:val="000000"/>
              </w:rPr>
            </w:pPr>
            <w:r>
              <w:rPr>
                <w:rFonts w:cs="Times New Roman"/>
                <w:bCs/>
                <w:color w:val="000000"/>
              </w:rPr>
              <w:t>备注</w:t>
            </w:r>
          </w:p>
        </w:tc>
        <w:tc>
          <w:tcPr>
            <w:tcW w:w="7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before="0" w:beforeAutospacing="0" w:after="0"/>
              <w:rPr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横向重叠</w:t>
            </w:r>
            <w:r>
              <w:rPr>
                <w:rFonts w:hint="eastAsia"/>
                <w:color w:val="000000"/>
              </w:rPr>
              <w:t>：</w:t>
            </w:r>
          </w:p>
          <w:p>
            <w:pPr>
              <w:pStyle w:val="3"/>
              <w:spacing w:before="0" w:beforeAutospacing="0" w:after="0"/>
              <w:rPr>
                <w:color w:val="000000"/>
              </w:rPr>
            </w:pPr>
          </w:p>
          <w:p>
            <w:pPr>
              <w:pStyle w:val="3"/>
              <w:widowControl w:val="0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2022</w:t>
            </w:r>
            <w:r>
              <w:rPr>
                <w:rFonts w:hint="eastAsia"/>
                <w:color w:val="000000"/>
              </w:rPr>
              <w:t>年中国境内在线药品零售市场：</w:t>
            </w:r>
          </w:p>
          <w:p>
            <w:pPr>
              <w:pStyle w:val="3"/>
              <w:widowControl w:val="0"/>
              <w:spacing w:before="0" w:beforeAutospacing="0" w:after="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K</w:t>
            </w:r>
            <w:r>
              <w:rPr>
                <w:color w:val="000000"/>
              </w:rPr>
              <w:t>KR</w:t>
            </w:r>
            <w:r>
              <w:rPr>
                <w:rFonts w:hint="eastAsia"/>
                <w:color w:val="000000"/>
              </w:rPr>
              <w:t>：</w:t>
            </w:r>
            <w:r>
              <w:rPr>
                <w:color w:val="000000"/>
              </w:rPr>
              <w:t>0-5%</w:t>
            </w:r>
            <w:r>
              <w:rPr>
                <w:rFonts w:hint="eastAsia"/>
                <w:color w:val="000000"/>
              </w:rPr>
              <w:t>，瑞人堂：</w:t>
            </w:r>
            <w:r>
              <w:rPr>
                <w:color w:val="000000"/>
              </w:rPr>
              <w:t>0-5%</w:t>
            </w:r>
            <w:r>
              <w:rPr>
                <w:rFonts w:hint="eastAsia"/>
                <w:color w:val="000000"/>
              </w:rPr>
              <w:t>，双方合计：</w:t>
            </w:r>
            <w:r>
              <w:rPr>
                <w:color w:val="000000"/>
              </w:rPr>
              <w:t>5-10%</w:t>
            </w:r>
          </w:p>
          <w:p>
            <w:pPr>
              <w:pStyle w:val="3"/>
              <w:widowControl w:val="0"/>
              <w:spacing w:before="0" w:beforeAutospacing="0" w:after="0"/>
              <w:rPr>
                <w:color w:val="000000"/>
              </w:rPr>
            </w:pPr>
          </w:p>
          <w:p>
            <w:pPr>
              <w:pStyle w:val="3"/>
              <w:widowControl w:val="0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2022</w:t>
            </w:r>
            <w:r>
              <w:rPr>
                <w:rFonts w:hint="eastAsia"/>
                <w:color w:val="000000"/>
              </w:rPr>
              <w:t>年温州市药店药品零售市场：</w:t>
            </w:r>
          </w:p>
          <w:p>
            <w:pPr>
              <w:pStyle w:val="3"/>
              <w:spacing w:before="0" w:beforeAutospacing="0" w:after="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KKR：5-10%，瑞人堂：0-5%，双方合计：10-15%</w:t>
            </w:r>
          </w:p>
          <w:p>
            <w:pPr>
              <w:pStyle w:val="3"/>
              <w:spacing w:before="0" w:beforeAutospacing="0" w:after="0"/>
              <w:rPr>
                <w:color w:val="000000"/>
              </w:rPr>
            </w:pPr>
          </w:p>
          <w:p>
            <w:pPr>
              <w:pStyle w:val="3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2022</w:t>
            </w:r>
            <w:r>
              <w:rPr>
                <w:rFonts w:hint="eastAsia"/>
                <w:color w:val="000000"/>
              </w:rPr>
              <w:t>年宁波市药店药品零售市场：</w:t>
            </w:r>
          </w:p>
          <w:p>
            <w:pPr>
              <w:pStyle w:val="3"/>
              <w:spacing w:before="0" w:beforeAutospacing="0" w:after="0"/>
              <w:rPr>
                <w:rFonts w:cs="Times New Roman"/>
                <w:bCs/>
                <w:color w:val="000000"/>
              </w:rPr>
            </w:pPr>
            <w:r>
              <w:rPr>
                <w:color w:val="000000"/>
              </w:rPr>
              <w:t>KKR</w:t>
            </w:r>
            <w:r>
              <w:rPr>
                <w:rFonts w:hint="eastAsia"/>
                <w:color w:val="000000"/>
              </w:rPr>
              <w:t>：</w:t>
            </w:r>
            <w:r>
              <w:rPr>
                <w:color w:val="000000"/>
              </w:rPr>
              <w:t>0-5%</w:t>
            </w:r>
            <w:r>
              <w:rPr>
                <w:rFonts w:hint="eastAsia"/>
                <w:color w:val="000000"/>
              </w:rPr>
              <w:t>，瑞人堂：</w:t>
            </w:r>
            <w:r>
              <w:rPr>
                <w:color w:val="000000"/>
              </w:rPr>
              <w:t>0-5%</w:t>
            </w:r>
            <w:r>
              <w:rPr>
                <w:rFonts w:hint="eastAsia" w:cs="Times New Roman"/>
                <w:color w:val="000000"/>
              </w:rPr>
              <w:t>，</w:t>
            </w:r>
            <w:r>
              <w:rPr>
                <w:rFonts w:hint="eastAsia"/>
                <w:color w:val="000000"/>
              </w:rPr>
              <w:t>双方</w:t>
            </w:r>
            <w:r>
              <w:rPr>
                <w:rFonts w:hint="eastAsia" w:cs="Times New Roman"/>
                <w:color w:val="000000"/>
              </w:rPr>
              <w:t>合计：</w:t>
            </w:r>
            <w:r>
              <w:rPr>
                <w:rFonts w:cs="Times New Roman"/>
                <w:color w:val="000000"/>
              </w:rPr>
              <w:t>0-5%</w:t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implified Arabic">
    <w:altName w:val="FreeSerif"/>
    <w:panose1 w:val="02020603050405020304"/>
    <w:charset w:val="B2"/>
    <w:family w:val="roman"/>
    <w:pitch w:val="default"/>
    <w:sig w:usb0="00000000" w:usb1="00000000" w:usb2="00000008" w:usb3="00000000" w:csb0="00000041" w:csb1="00000000"/>
  </w:font>
  <w:font w:name="PMingLiU">
    <w:altName w:val="Droid Sans Fallback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DengXian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">
    <w:panose1 w:val="05000000000000000000"/>
    <w:charset w:val="00"/>
    <w:family w:val="decorative"/>
    <w:pitch w:val="default"/>
    <w:sig w:usb0="00000000" w:usb1="00000000" w:usb2="00000000" w:usb3="00000000" w:csb0="8000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i/>
        <w:iCs/>
        <w:sz w:val="21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hideSpellingErrors/>
  <w:hideGrammaticalErrors/>
  <w:trackRevisions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LIwMbIwsDQ2MjIyNjZR0lEKTi0uzszPAykwrAUA/XItfSwAAAA="/>
  </w:docVars>
  <w:rsids>
    <w:rsidRoot w:val="00946093"/>
    <w:rsid w:val="00007DCB"/>
    <w:rsid w:val="00013540"/>
    <w:rsid w:val="000779D4"/>
    <w:rsid w:val="00093743"/>
    <w:rsid w:val="00094054"/>
    <w:rsid w:val="000A7D80"/>
    <w:rsid w:val="000C0942"/>
    <w:rsid w:val="000D7B77"/>
    <w:rsid w:val="000F3038"/>
    <w:rsid w:val="000F622D"/>
    <w:rsid w:val="00100F0A"/>
    <w:rsid w:val="00107779"/>
    <w:rsid w:val="0012488C"/>
    <w:rsid w:val="00145A7D"/>
    <w:rsid w:val="00150EB0"/>
    <w:rsid w:val="00156A84"/>
    <w:rsid w:val="001742CA"/>
    <w:rsid w:val="00185356"/>
    <w:rsid w:val="00197EF7"/>
    <w:rsid w:val="001B09FA"/>
    <w:rsid w:val="001B6FF9"/>
    <w:rsid w:val="001C2F2F"/>
    <w:rsid w:val="001F1174"/>
    <w:rsid w:val="001F329D"/>
    <w:rsid w:val="0020203F"/>
    <w:rsid w:val="00203FCA"/>
    <w:rsid w:val="00215FBA"/>
    <w:rsid w:val="0022508D"/>
    <w:rsid w:val="00243F0A"/>
    <w:rsid w:val="00261F18"/>
    <w:rsid w:val="00266140"/>
    <w:rsid w:val="0027426D"/>
    <w:rsid w:val="002765E0"/>
    <w:rsid w:val="0027683C"/>
    <w:rsid w:val="0029075B"/>
    <w:rsid w:val="00295660"/>
    <w:rsid w:val="002A2F02"/>
    <w:rsid w:val="002A3B05"/>
    <w:rsid w:val="002A6A2C"/>
    <w:rsid w:val="002B1728"/>
    <w:rsid w:val="002B7D10"/>
    <w:rsid w:val="002C3EF7"/>
    <w:rsid w:val="002D2F0B"/>
    <w:rsid w:val="002D74F9"/>
    <w:rsid w:val="002E2D56"/>
    <w:rsid w:val="002E3A8B"/>
    <w:rsid w:val="002F2EB7"/>
    <w:rsid w:val="00307E43"/>
    <w:rsid w:val="00310937"/>
    <w:rsid w:val="00311A3C"/>
    <w:rsid w:val="00312586"/>
    <w:rsid w:val="00320AA5"/>
    <w:rsid w:val="00323DA9"/>
    <w:rsid w:val="0033132B"/>
    <w:rsid w:val="003331A2"/>
    <w:rsid w:val="00343349"/>
    <w:rsid w:val="00364A5F"/>
    <w:rsid w:val="0037009B"/>
    <w:rsid w:val="003702EB"/>
    <w:rsid w:val="00382857"/>
    <w:rsid w:val="003838DE"/>
    <w:rsid w:val="00384357"/>
    <w:rsid w:val="003A2F66"/>
    <w:rsid w:val="003A3150"/>
    <w:rsid w:val="003A7638"/>
    <w:rsid w:val="003C005C"/>
    <w:rsid w:val="003C0D8B"/>
    <w:rsid w:val="003C3199"/>
    <w:rsid w:val="003C54A5"/>
    <w:rsid w:val="003C5C83"/>
    <w:rsid w:val="003C5EFE"/>
    <w:rsid w:val="003D1ECC"/>
    <w:rsid w:val="003E509B"/>
    <w:rsid w:val="00400304"/>
    <w:rsid w:val="00405E00"/>
    <w:rsid w:val="00405FE2"/>
    <w:rsid w:val="00411F91"/>
    <w:rsid w:val="004138AE"/>
    <w:rsid w:val="004171D2"/>
    <w:rsid w:val="004205B0"/>
    <w:rsid w:val="0043165B"/>
    <w:rsid w:val="004347DD"/>
    <w:rsid w:val="00440639"/>
    <w:rsid w:val="00447369"/>
    <w:rsid w:val="0045265F"/>
    <w:rsid w:val="00476557"/>
    <w:rsid w:val="004778F0"/>
    <w:rsid w:val="00497988"/>
    <w:rsid w:val="004A1DAF"/>
    <w:rsid w:val="004A68DD"/>
    <w:rsid w:val="004B2473"/>
    <w:rsid w:val="004B50D9"/>
    <w:rsid w:val="004C620D"/>
    <w:rsid w:val="004D4952"/>
    <w:rsid w:val="004F3639"/>
    <w:rsid w:val="004F7232"/>
    <w:rsid w:val="005268BF"/>
    <w:rsid w:val="005515EE"/>
    <w:rsid w:val="00561996"/>
    <w:rsid w:val="005638ED"/>
    <w:rsid w:val="005646D6"/>
    <w:rsid w:val="00577435"/>
    <w:rsid w:val="005966C0"/>
    <w:rsid w:val="005A47D9"/>
    <w:rsid w:val="005C79A3"/>
    <w:rsid w:val="005D09BB"/>
    <w:rsid w:val="005D26CF"/>
    <w:rsid w:val="005D7429"/>
    <w:rsid w:val="005E7CC0"/>
    <w:rsid w:val="005F08B8"/>
    <w:rsid w:val="0061226A"/>
    <w:rsid w:val="006123C3"/>
    <w:rsid w:val="006523CF"/>
    <w:rsid w:val="00652FAB"/>
    <w:rsid w:val="006553DD"/>
    <w:rsid w:val="00676B35"/>
    <w:rsid w:val="00694E32"/>
    <w:rsid w:val="006A5C43"/>
    <w:rsid w:val="006B391A"/>
    <w:rsid w:val="006E582C"/>
    <w:rsid w:val="00745190"/>
    <w:rsid w:val="00750128"/>
    <w:rsid w:val="007637AD"/>
    <w:rsid w:val="0076705D"/>
    <w:rsid w:val="0077069A"/>
    <w:rsid w:val="0077162D"/>
    <w:rsid w:val="00774ACA"/>
    <w:rsid w:val="00781013"/>
    <w:rsid w:val="007918C4"/>
    <w:rsid w:val="0079231E"/>
    <w:rsid w:val="007A384F"/>
    <w:rsid w:val="007B1EB0"/>
    <w:rsid w:val="007C1899"/>
    <w:rsid w:val="007C5EA7"/>
    <w:rsid w:val="007C6C97"/>
    <w:rsid w:val="007C780C"/>
    <w:rsid w:val="007D0852"/>
    <w:rsid w:val="007F7315"/>
    <w:rsid w:val="00812267"/>
    <w:rsid w:val="008346D5"/>
    <w:rsid w:val="00851257"/>
    <w:rsid w:val="00852CC5"/>
    <w:rsid w:val="008735C9"/>
    <w:rsid w:val="008749C7"/>
    <w:rsid w:val="00886106"/>
    <w:rsid w:val="008A2D58"/>
    <w:rsid w:val="008C6BD6"/>
    <w:rsid w:val="008D593A"/>
    <w:rsid w:val="008E0562"/>
    <w:rsid w:val="008F345D"/>
    <w:rsid w:val="008F42A0"/>
    <w:rsid w:val="008F57B9"/>
    <w:rsid w:val="009021DB"/>
    <w:rsid w:val="009226A8"/>
    <w:rsid w:val="00931EFD"/>
    <w:rsid w:val="009357BB"/>
    <w:rsid w:val="009454C7"/>
    <w:rsid w:val="00946093"/>
    <w:rsid w:val="00967C97"/>
    <w:rsid w:val="009D2094"/>
    <w:rsid w:val="009D33B7"/>
    <w:rsid w:val="00A2328D"/>
    <w:rsid w:val="00A41374"/>
    <w:rsid w:val="00A83463"/>
    <w:rsid w:val="00AE1160"/>
    <w:rsid w:val="00AE6AED"/>
    <w:rsid w:val="00AF08F5"/>
    <w:rsid w:val="00B06491"/>
    <w:rsid w:val="00B30D38"/>
    <w:rsid w:val="00B40BEC"/>
    <w:rsid w:val="00B6597C"/>
    <w:rsid w:val="00B8318D"/>
    <w:rsid w:val="00B86150"/>
    <w:rsid w:val="00B86934"/>
    <w:rsid w:val="00B90AAA"/>
    <w:rsid w:val="00B92999"/>
    <w:rsid w:val="00B935FC"/>
    <w:rsid w:val="00BA03F3"/>
    <w:rsid w:val="00BB45E6"/>
    <w:rsid w:val="00BC2403"/>
    <w:rsid w:val="00BD4DBA"/>
    <w:rsid w:val="00BD7FA0"/>
    <w:rsid w:val="00BE6D9A"/>
    <w:rsid w:val="00C071B0"/>
    <w:rsid w:val="00C1039A"/>
    <w:rsid w:val="00C5094F"/>
    <w:rsid w:val="00C51A4E"/>
    <w:rsid w:val="00C51FB7"/>
    <w:rsid w:val="00C5548B"/>
    <w:rsid w:val="00C56AF1"/>
    <w:rsid w:val="00C57048"/>
    <w:rsid w:val="00C83824"/>
    <w:rsid w:val="00C939CC"/>
    <w:rsid w:val="00CB669F"/>
    <w:rsid w:val="00CD0D64"/>
    <w:rsid w:val="00CD5518"/>
    <w:rsid w:val="00CD7692"/>
    <w:rsid w:val="00D03B4A"/>
    <w:rsid w:val="00D04012"/>
    <w:rsid w:val="00D04EDF"/>
    <w:rsid w:val="00D10D0F"/>
    <w:rsid w:val="00D158DC"/>
    <w:rsid w:val="00D35077"/>
    <w:rsid w:val="00D36237"/>
    <w:rsid w:val="00D512FB"/>
    <w:rsid w:val="00D530D7"/>
    <w:rsid w:val="00D61C7C"/>
    <w:rsid w:val="00D6605C"/>
    <w:rsid w:val="00D67A02"/>
    <w:rsid w:val="00D91AF3"/>
    <w:rsid w:val="00DC3DF8"/>
    <w:rsid w:val="00DF301E"/>
    <w:rsid w:val="00E0602B"/>
    <w:rsid w:val="00E07228"/>
    <w:rsid w:val="00E15671"/>
    <w:rsid w:val="00E2436F"/>
    <w:rsid w:val="00E33EAB"/>
    <w:rsid w:val="00E356F8"/>
    <w:rsid w:val="00E364DC"/>
    <w:rsid w:val="00E46E93"/>
    <w:rsid w:val="00E53585"/>
    <w:rsid w:val="00E64DEF"/>
    <w:rsid w:val="00EA49CC"/>
    <w:rsid w:val="00EB1C39"/>
    <w:rsid w:val="00EC3246"/>
    <w:rsid w:val="00EE1A8F"/>
    <w:rsid w:val="00EE30CE"/>
    <w:rsid w:val="00EE6E13"/>
    <w:rsid w:val="00F04672"/>
    <w:rsid w:val="00F0505D"/>
    <w:rsid w:val="00F2631B"/>
    <w:rsid w:val="00F404A1"/>
    <w:rsid w:val="00F51F8E"/>
    <w:rsid w:val="00F64546"/>
    <w:rsid w:val="00F9646F"/>
    <w:rsid w:val="00F97A89"/>
    <w:rsid w:val="00FC1245"/>
    <w:rsid w:val="00FD69E4"/>
    <w:rsid w:val="00FE2615"/>
    <w:rsid w:val="77D6A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00" w:beforeAutospacing="1" w:after="240"/>
      <w:jc w:val="both"/>
    </w:pPr>
    <w:rPr>
      <w:rFonts w:ascii="Times New Roman" w:hAnsi="Times New Roman" w:eastAsia="宋体" w:cs="Times New Roman"/>
      <w:kern w:val="0"/>
      <w:sz w:val="24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qFormat/>
    <w:uiPriority w:val="0"/>
    <w:pPr>
      <w:spacing w:before="0" w:beforeAutospacing="0" w:after="0"/>
      <w:jc w:val="left"/>
    </w:pPr>
    <w:rPr>
      <w:rFonts w:ascii="PMingLiU" w:hAnsi="PMingLiU" w:eastAsia="PMingLiU" w:cs="PMingLiU"/>
      <w:sz w:val="20"/>
      <w:szCs w:val="20"/>
      <w:lang w:eastAsia="zh-TW"/>
    </w:rPr>
  </w:style>
  <w:style w:type="paragraph" w:styleId="3">
    <w:name w:val="Body Text"/>
    <w:basedOn w:val="1"/>
    <w:link w:val="13"/>
    <w:unhideWhenUsed/>
    <w:qFormat/>
    <w:uiPriority w:val="99"/>
    <w:rPr>
      <w:rFonts w:cs="Simplified Arabic"/>
    </w:rPr>
  </w:style>
  <w:style w:type="paragraph" w:styleId="4">
    <w:name w:val="Balloon Text"/>
    <w:basedOn w:val="1"/>
    <w:link w:val="17"/>
    <w:semiHidden/>
    <w:unhideWhenUsed/>
    <w:qFormat/>
    <w:uiPriority w:val="99"/>
    <w:pPr>
      <w:spacing w:before="0" w:after="0"/>
    </w:pPr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9"/>
    <w:semiHidden/>
    <w:unhideWhenUsed/>
    <w:qFormat/>
    <w:uiPriority w:val="99"/>
    <w:pPr>
      <w:spacing w:before="100" w:beforeAutospacing="1" w:after="240"/>
    </w:pPr>
    <w:rPr>
      <w:rFonts w:ascii="Times New Roman" w:hAnsi="Times New Roman" w:eastAsia="宋体" w:cs="Times New Roman"/>
      <w:b/>
      <w:bCs/>
      <w:sz w:val="24"/>
      <w:szCs w:val="24"/>
      <w:lang w:eastAsia="zh-CN"/>
    </w:rPr>
  </w:style>
  <w:style w:type="table" w:styleId="9">
    <w:name w:val="Table Grid"/>
    <w:basedOn w:val="8"/>
    <w:qFormat/>
    <w:uiPriority w:val="39"/>
    <w:rPr>
      <w:rFonts w:ascii="Calibri" w:hAnsi="Calibri" w:eastAsia="DengXi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qFormat/>
    <w:uiPriority w:val="99"/>
    <w:rPr>
      <w:sz w:val="16"/>
    </w:rPr>
  </w:style>
  <w:style w:type="character" w:customStyle="1" w:styleId="13">
    <w:name w:val="正文文本 字符"/>
    <w:basedOn w:val="10"/>
    <w:link w:val="3"/>
    <w:qFormat/>
    <w:uiPriority w:val="99"/>
    <w:rPr>
      <w:rFonts w:ascii="Times New Roman" w:hAnsi="Times New Roman" w:eastAsia="宋体" w:cs="Simplified Arabic"/>
      <w:kern w:val="0"/>
      <w:sz w:val="24"/>
    </w:rPr>
  </w:style>
  <w:style w:type="paragraph" w:customStyle="1" w:styleId="14">
    <w:name w:val="Revision"/>
    <w:hidden/>
    <w:semiHidden/>
    <w:qFormat/>
    <w:uiPriority w:val="99"/>
    <w:rPr>
      <w:rFonts w:ascii="Times New Roman" w:hAnsi="Times New Roman" w:eastAsia="宋体" w:cs="Times New Roman"/>
      <w:kern w:val="0"/>
      <w:sz w:val="24"/>
      <w:szCs w:val="24"/>
      <w:lang w:val="en-US" w:eastAsia="zh-CN" w:bidi="ar-SA"/>
    </w:rPr>
  </w:style>
  <w:style w:type="character" w:customStyle="1" w:styleId="15">
    <w:name w:val="页眉 字符"/>
    <w:basedOn w:val="10"/>
    <w:link w:val="6"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16">
    <w:name w:val="页脚 字符"/>
    <w:basedOn w:val="10"/>
    <w:link w:val="5"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17">
    <w:name w:val="批注框文本 字符"/>
    <w:basedOn w:val="10"/>
    <w:link w:val="4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18">
    <w:name w:val="批注文字 字符"/>
    <w:basedOn w:val="10"/>
    <w:link w:val="2"/>
    <w:qFormat/>
    <w:uiPriority w:val="0"/>
    <w:rPr>
      <w:rFonts w:ascii="PMingLiU" w:hAnsi="PMingLiU" w:eastAsia="PMingLiU" w:cs="PMingLiU"/>
      <w:kern w:val="0"/>
      <w:sz w:val="20"/>
      <w:szCs w:val="20"/>
      <w:lang w:eastAsia="zh-TW"/>
    </w:rPr>
  </w:style>
  <w:style w:type="character" w:customStyle="1" w:styleId="19">
    <w:name w:val="批注主题 字符"/>
    <w:basedOn w:val="18"/>
    <w:link w:val="7"/>
    <w:semiHidden/>
    <w:qFormat/>
    <w:uiPriority w:val="99"/>
    <w:rPr>
      <w:rFonts w:ascii="Times New Roman" w:hAnsi="Times New Roman" w:eastAsia="宋体" w:cs="Times New Roman"/>
      <w:b/>
      <w:bCs/>
      <w:kern w:val="0"/>
      <w:sz w:val="24"/>
      <w:szCs w:val="20"/>
      <w:lang w:eastAsia="zh-TW"/>
    </w:rPr>
  </w:style>
  <w:style w:type="character" w:customStyle="1" w:styleId="20">
    <w:name w:val="Unresolved Mention"/>
    <w:basedOn w:val="10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145</Words>
  <Characters>827</Characters>
  <Lines>6</Lines>
  <Paragraphs>1</Paragraphs>
  <TotalTime>71</TotalTime>
  <ScaleCrop>false</ScaleCrop>
  <LinksUpToDate>false</LinksUpToDate>
  <CharactersWithSpaces>971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2023-07-07T14:08:00Z</dcterms:created>
  <dc:creator>Sunland</dc:creator>
  <cp:lastModifiedBy>scjuser</cp:lastModifiedBy>
  <dcterms:modified xsi:type="dcterms:W3CDTF">2023-09-06T09:40:48Z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