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黑体" w:hAnsi="黑体" w:eastAsia="黑体" w:cs="黑体"/>
          <w:kern w:val="2"/>
          <w:sz w:val="36"/>
          <w:szCs w:val="36"/>
          <w:lang w:val="en-US" w:eastAsia="zh-CN" w:bidi="ar-SA"/>
        </w:rPr>
      </w:pPr>
      <w:r>
        <w:rPr>
          <w:rFonts w:hint="eastAsia" w:ascii="黑体" w:hAnsi="黑体" w:eastAsia="黑体" w:cs="黑体"/>
          <w:kern w:val="2"/>
          <w:sz w:val="36"/>
          <w:szCs w:val="36"/>
          <w:lang w:val="en-US" w:eastAsia="zh-CN" w:bidi="ar-SA"/>
        </w:rPr>
        <w:t>经营者集中简易案件公示表</w:t>
      </w:r>
    </w:p>
    <w:tbl>
      <w:tblPr>
        <w:tblStyle w:val="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rPr>
              <w:t>案件名称</w:t>
            </w:r>
          </w:p>
        </w:tc>
        <w:tc>
          <w:tcPr>
            <w:tcW w:w="7700" w:type="dxa"/>
            <w:gridSpan w:val="2"/>
            <w:noWrap w:val="0"/>
            <w:vAlign w:val="center"/>
          </w:tcPr>
          <w:p>
            <w:pPr>
              <w:adjustRightInd w:val="0"/>
              <w:snapToGrid w:val="0"/>
              <w:spacing w:after="0"/>
              <w:rPr>
                <w:rFonts w:hint="eastAsia" w:ascii="宋体" w:hAnsi="宋体" w:eastAsia="宋体" w:cs="宋体"/>
                <w:sz w:val="21"/>
                <w:szCs w:val="21"/>
                <w:lang w:val="en-US"/>
              </w:rPr>
            </w:pPr>
            <w:r>
              <w:rPr>
                <w:rFonts w:hint="eastAsia" w:ascii="宋体" w:hAnsi="宋体" w:cs="宋体"/>
                <w:bCs/>
                <w:color w:val="000000"/>
                <w:lang w:val="en-US"/>
              </w:rPr>
              <w:t>汕尾市投资控股有限公司收购汕尾汇能综合能源服务有限公司股权案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lang w:eastAsia="zh-CN"/>
              </w:rPr>
              <w:t>交易概况（限200字内）</w:t>
            </w:r>
          </w:p>
        </w:tc>
        <w:tc>
          <w:tcPr>
            <w:tcW w:w="7700" w:type="dxa"/>
            <w:gridSpan w:val="2"/>
            <w:noWrap w:val="0"/>
            <w:vAlign w:val="center"/>
          </w:tcPr>
          <w:p>
            <w:pPr>
              <w:widowControl w:val="0"/>
              <w:adjustRightInd w:val="0"/>
              <w:snapToGrid w:val="0"/>
              <w:spacing w:after="0"/>
              <w:rPr>
                <w:rFonts w:hint="eastAsia" w:ascii="宋体" w:hAnsi="宋体" w:eastAsia="宋体" w:cs="宋体"/>
                <w:sz w:val="21"/>
                <w:szCs w:val="21"/>
                <w:lang w:val="en-US"/>
              </w:rPr>
            </w:pPr>
            <w:r>
              <w:rPr>
                <w:rFonts w:hint="eastAsia" w:ascii="宋体" w:hAnsi="宋体" w:cs="宋体"/>
                <w:bCs/>
                <w:color w:val="000000"/>
                <w:lang w:val="en-US"/>
              </w:rPr>
              <w:t>汕尾市投资控股有限公司（“</w:t>
            </w:r>
            <w:r>
              <w:rPr>
                <w:rFonts w:hint="eastAsia" w:ascii="宋体" w:hAnsi="宋体" w:cs="宋体"/>
                <w:bCs/>
                <w:color w:val="000000"/>
                <w:lang w:val="en-US" w:eastAsia="zh-CN"/>
              </w:rPr>
              <w:t>汕尾投控</w:t>
            </w:r>
            <w:r>
              <w:rPr>
                <w:rFonts w:hint="eastAsia" w:ascii="宋体" w:hAnsi="宋体" w:cs="宋体"/>
                <w:bCs/>
                <w:color w:val="000000"/>
                <w:lang w:val="en-US"/>
              </w:rPr>
              <w:t>”）与中山市电力实业发展有限公司（“中山实业”）、汕尾汇能综合能源服务有限公司（“</w:t>
            </w:r>
            <w:r>
              <w:rPr>
                <w:rFonts w:hint="eastAsia" w:ascii="宋体" w:hAnsi="宋体" w:cs="宋体"/>
                <w:bCs/>
                <w:color w:val="000000"/>
                <w:lang w:val="en-US" w:eastAsia="zh-CN"/>
              </w:rPr>
              <w:t>汕尾汇能</w:t>
            </w:r>
            <w:r>
              <w:rPr>
                <w:rFonts w:hint="eastAsia" w:ascii="宋体" w:hAnsi="宋体" w:cs="宋体"/>
                <w:bCs/>
                <w:color w:val="000000"/>
                <w:lang w:val="en-US"/>
              </w:rPr>
              <w:t>”）</w:t>
            </w:r>
            <w:r>
              <w:rPr>
                <w:rFonts w:hint="eastAsia" w:ascii="宋体" w:hAnsi="宋体" w:cs="宋体"/>
              </w:rPr>
              <w:t>签署协议，</w:t>
            </w:r>
            <w:r>
              <w:rPr>
                <w:rFonts w:hint="eastAsia" w:ascii="宋体" w:hAnsi="宋体" w:cs="宋体"/>
                <w:bCs/>
                <w:color w:val="000000"/>
                <w:lang w:val="en-US" w:eastAsia="zh-CN"/>
              </w:rPr>
              <w:t>汕尾投控</w:t>
            </w:r>
            <w:r>
              <w:rPr>
                <w:rFonts w:hint="eastAsia" w:ascii="宋体" w:hAnsi="宋体" w:cs="宋体"/>
                <w:bCs/>
                <w:color w:val="000000"/>
                <w:lang w:val="en-US"/>
              </w:rPr>
              <w:t>通过增资扩股的方式收购</w:t>
            </w:r>
            <w:r>
              <w:rPr>
                <w:rFonts w:hint="eastAsia" w:ascii="宋体" w:hAnsi="宋体" w:cs="宋体"/>
                <w:bCs/>
                <w:color w:val="000000"/>
                <w:lang w:val="en-US" w:eastAsia="zh-CN"/>
              </w:rPr>
              <w:t>汕尾汇能</w:t>
            </w:r>
            <w:r>
              <w:rPr>
                <w:rFonts w:hint="eastAsia" w:ascii="宋体" w:hAnsi="宋体" w:cs="宋体"/>
                <w:bCs/>
                <w:color w:val="000000"/>
                <w:lang w:val="en-US"/>
              </w:rPr>
              <w:t>5</w:t>
            </w:r>
            <w:r>
              <w:rPr>
                <w:rFonts w:hint="eastAsia" w:ascii="宋体" w:hAnsi="宋体" w:cs="宋体"/>
                <w:bCs/>
                <w:color w:val="000000"/>
                <w:lang w:val="en-US" w:eastAsia="zh-CN"/>
              </w:rPr>
              <w:t>1</w:t>
            </w:r>
            <w:r>
              <w:rPr>
                <w:rFonts w:hint="eastAsia" w:ascii="宋体" w:hAnsi="宋体" w:cs="宋体"/>
                <w:bCs/>
                <w:color w:val="000000"/>
                <w:lang w:val="en-US"/>
              </w:rPr>
              <w:t>%的股权。</w:t>
            </w:r>
            <w:r>
              <w:rPr>
                <w:rFonts w:hint="eastAsia" w:ascii="宋体" w:hAnsi="宋体" w:cs="宋体"/>
                <w:bCs/>
                <w:color w:val="000000"/>
                <w:lang w:val="en-US" w:eastAsia="zh-CN"/>
              </w:rPr>
              <w:t>汕尾汇能</w:t>
            </w:r>
            <w:r>
              <w:rPr>
                <w:rFonts w:hint="eastAsia" w:ascii="宋体" w:hAnsi="宋体" w:cs="宋体"/>
                <w:bCs/>
                <w:color w:val="000000"/>
                <w:lang w:val="en-US"/>
              </w:rPr>
              <w:t>主要从事电力工程施工业务。</w:t>
            </w:r>
            <w:r>
              <w:rPr>
                <w:rFonts w:hint="eastAsia" w:ascii="宋体" w:hAnsi="宋体" w:cs="宋体"/>
              </w:rPr>
              <w:t>交易前，</w:t>
            </w:r>
            <w:r>
              <w:rPr>
                <w:rFonts w:hint="eastAsia" w:ascii="宋体" w:hAnsi="宋体" w:cs="宋体"/>
                <w:bCs/>
                <w:color w:val="000000"/>
                <w:lang w:val="en-US"/>
              </w:rPr>
              <w:t>中山实业</w:t>
            </w:r>
            <w:r>
              <w:rPr>
                <w:rFonts w:hint="eastAsia" w:ascii="宋体" w:hAnsi="宋体" w:cs="宋体"/>
                <w:lang w:val="en-US"/>
              </w:rPr>
              <w:t>持有</w:t>
            </w:r>
            <w:r>
              <w:rPr>
                <w:rFonts w:hint="eastAsia" w:ascii="宋体" w:hAnsi="宋体" w:cs="宋体"/>
                <w:bCs/>
                <w:color w:val="000000"/>
                <w:lang w:val="en-US" w:eastAsia="zh-CN"/>
              </w:rPr>
              <w:t>汕尾汇能</w:t>
            </w:r>
            <w:r>
              <w:rPr>
                <w:rFonts w:hint="eastAsia" w:ascii="宋体" w:hAnsi="宋体" w:cs="宋体"/>
                <w:bCs/>
                <w:color w:val="000000"/>
                <w:lang w:val="en-US"/>
              </w:rPr>
              <w:t>100</w:t>
            </w:r>
            <w:r>
              <w:rPr>
                <w:rFonts w:hint="eastAsia" w:ascii="宋体" w:hAnsi="宋体" w:cs="宋体"/>
              </w:rPr>
              <w:t>%的</w:t>
            </w:r>
            <w:r>
              <w:rPr>
                <w:rFonts w:hint="eastAsia" w:ascii="宋体" w:hAnsi="宋体" w:cs="宋体"/>
                <w:lang w:val="en-US"/>
              </w:rPr>
              <w:t>股权</w:t>
            </w:r>
            <w:r>
              <w:rPr>
                <w:rFonts w:hint="eastAsia" w:ascii="宋体" w:hAnsi="宋体" w:cs="宋体"/>
              </w:rPr>
              <w:t>，单独控制</w:t>
            </w:r>
            <w:r>
              <w:rPr>
                <w:rFonts w:hint="eastAsia" w:ascii="宋体" w:hAnsi="宋体" w:cs="宋体"/>
                <w:bCs/>
                <w:color w:val="000000"/>
                <w:lang w:val="en-US" w:eastAsia="zh-CN"/>
              </w:rPr>
              <w:t>汕尾汇能</w:t>
            </w:r>
            <w:r>
              <w:rPr>
                <w:rFonts w:hint="eastAsia" w:ascii="宋体" w:hAnsi="宋体" w:cs="宋体"/>
              </w:rPr>
              <w:t>。交易后，</w:t>
            </w:r>
            <w:r>
              <w:rPr>
                <w:rFonts w:hint="eastAsia" w:ascii="宋体" w:hAnsi="宋体" w:cs="宋体"/>
                <w:bCs/>
                <w:color w:val="000000"/>
                <w:lang w:val="en-US" w:eastAsia="zh-CN"/>
              </w:rPr>
              <w:t>汕尾投控与中山实业</w:t>
            </w:r>
            <w:r>
              <w:rPr>
                <w:rFonts w:hint="eastAsia" w:ascii="宋体" w:hAnsi="宋体" w:cs="宋体"/>
              </w:rPr>
              <w:t>将</w:t>
            </w:r>
            <w:r>
              <w:rPr>
                <w:rFonts w:hint="eastAsia" w:ascii="宋体" w:hAnsi="宋体" w:cs="宋体"/>
                <w:lang w:val="en-US" w:eastAsia="zh-CN"/>
              </w:rPr>
              <w:t>分别</w:t>
            </w:r>
            <w:r>
              <w:rPr>
                <w:rFonts w:hint="eastAsia" w:ascii="宋体" w:hAnsi="宋体" w:cs="宋体"/>
              </w:rPr>
              <w:t>持有</w:t>
            </w:r>
            <w:r>
              <w:rPr>
                <w:rFonts w:hint="eastAsia" w:ascii="宋体" w:hAnsi="宋体" w:cs="宋体"/>
                <w:bCs/>
                <w:color w:val="000000"/>
                <w:lang w:val="en-US" w:eastAsia="zh-CN"/>
              </w:rPr>
              <w:t>汕尾汇能</w:t>
            </w:r>
            <w:r>
              <w:rPr>
                <w:rFonts w:hint="eastAsia" w:ascii="宋体" w:hAnsi="宋体" w:cs="宋体"/>
              </w:rPr>
              <w:t>5</w:t>
            </w:r>
            <w:r>
              <w:rPr>
                <w:rFonts w:hint="eastAsia" w:ascii="宋体" w:hAnsi="宋体" w:cs="宋体"/>
                <w:lang w:val="en-US" w:eastAsia="zh-CN"/>
              </w:rPr>
              <w:t>1</w:t>
            </w:r>
            <w:r>
              <w:rPr>
                <w:rFonts w:hint="eastAsia" w:ascii="宋体" w:hAnsi="宋体" w:cs="宋体"/>
              </w:rPr>
              <w:t>%</w:t>
            </w:r>
            <w:r>
              <w:rPr>
                <w:rFonts w:hint="eastAsia" w:ascii="宋体" w:hAnsi="宋体" w:cs="宋体"/>
                <w:lang w:val="en-US" w:eastAsia="zh-CN"/>
              </w:rPr>
              <w:t>和49%</w:t>
            </w:r>
            <w:r>
              <w:rPr>
                <w:rFonts w:hint="eastAsia" w:ascii="宋体" w:hAnsi="宋体" w:cs="宋体"/>
                <w:lang w:val="en-US"/>
              </w:rPr>
              <w:t>股权</w:t>
            </w:r>
            <w:r>
              <w:rPr>
                <w:rFonts w:hint="eastAsia" w:ascii="宋体" w:hAnsi="宋体" w:cs="宋体"/>
              </w:rPr>
              <w:t>，共同控制</w:t>
            </w:r>
            <w:r>
              <w:rPr>
                <w:rFonts w:hint="eastAsia" w:ascii="宋体" w:hAnsi="宋体" w:cs="宋体"/>
                <w:bCs/>
                <w:color w:val="000000"/>
                <w:lang w:val="en-US" w:eastAsia="zh-CN"/>
              </w:rPr>
              <w:t>汕尾汇能</w:t>
            </w:r>
            <w:r>
              <w:rPr>
                <w:rFonts w:hint="eastAsia" w:ascii="宋体" w:hAnsi="宋体"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lang w:eastAsia="zh-CN"/>
              </w:rPr>
              <w:t>参与集中的经营者简介</w:t>
            </w:r>
          </w:p>
        </w:tc>
        <w:tc>
          <w:tcPr>
            <w:tcW w:w="1607" w:type="dxa"/>
            <w:noWrap w:val="0"/>
            <w:vAlign w:val="center"/>
          </w:tcPr>
          <w:p>
            <w:pPr>
              <w:pStyle w:val="3"/>
              <w:adjustRightInd w:val="0"/>
              <w:snapToGrid w:val="0"/>
              <w:spacing w:after="0"/>
              <w:rPr>
                <w:rFonts w:hint="eastAsia" w:ascii="宋体" w:hAnsi="宋体" w:eastAsia="宋体" w:cs="宋体"/>
                <w:sz w:val="21"/>
                <w:szCs w:val="21"/>
                <w:lang w:eastAsia="zh-CN"/>
              </w:rPr>
            </w:pPr>
            <w:r>
              <w:rPr>
                <w:rFonts w:hint="eastAsia" w:ascii="宋体" w:hAnsi="宋体" w:cs="宋体"/>
                <w:bCs/>
                <w:color w:val="000000"/>
                <w:lang w:val="en-US" w:eastAsia="zh-CN"/>
              </w:rPr>
              <w:t>1.汕尾投控</w:t>
            </w:r>
          </w:p>
        </w:tc>
        <w:tc>
          <w:tcPr>
            <w:tcW w:w="6093" w:type="dxa"/>
            <w:noWrap w:val="0"/>
            <w:vAlign w:val="center"/>
          </w:tcPr>
          <w:p>
            <w:pPr>
              <w:pStyle w:val="3"/>
              <w:adjustRightInd w:val="0"/>
              <w:snapToGrid w:val="0"/>
              <w:spacing w:after="0"/>
              <w:rPr>
                <w:rFonts w:hint="eastAsia" w:ascii="宋体" w:hAnsi="宋体" w:cs="宋体"/>
                <w:bCs/>
                <w:color w:val="000000"/>
                <w:lang w:val="en-US"/>
              </w:rPr>
            </w:pPr>
            <w:r>
              <w:rPr>
                <w:rFonts w:hint="eastAsia" w:ascii="宋体" w:hAnsi="宋体" w:cs="宋体"/>
                <w:bCs/>
                <w:color w:val="000000"/>
                <w:lang w:val="en-US" w:eastAsia="zh-CN"/>
              </w:rPr>
              <w:t>汕尾投控</w:t>
            </w:r>
            <w:r>
              <w:rPr>
                <w:rFonts w:hint="eastAsia" w:ascii="宋体" w:hAnsi="宋体" w:cs="宋体"/>
                <w:bCs/>
                <w:color w:val="000000"/>
                <w:lang w:val="en-US"/>
              </w:rPr>
              <w:t>于</w:t>
            </w:r>
            <w:r>
              <w:rPr>
                <w:rFonts w:hint="eastAsia" w:ascii="宋体" w:hAnsi="宋体" w:cs="宋体"/>
                <w:bCs/>
                <w:color w:val="000000"/>
                <w:lang w:val="en-US" w:eastAsia="zh-CN"/>
              </w:rPr>
              <w:t>1988</w:t>
            </w:r>
            <w:r>
              <w:rPr>
                <w:rFonts w:hint="eastAsia" w:ascii="宋体" w:hAnsi="宋体" w:cs="宋体"/>
                <w:bCs/>
                <w:color w:val="000000"/>
                <w:lang w:val="en-US"/>
              </w:rPr>
              <w:t>年</w:t>
            </w:r>
            <w:r>
              <w:rPr>
                <w:rFonts w:hint="eastAsia" w:ascii="宋体" w:hAnsi="宋体" w:cs="宋体"/>
                <w:bCs/>
                <w:color w:val="000000"/>
                <w:lang w:val="en-US" w:eastAsia="zh-CN"/>
              </w:rPr>
              <w:t>4</w:t>
            </w:r>
            <w:r>
              <w:rPr>
                <w:rFonts w:hint="eastAsia" w:ascii="宋体" w:hAnsi="宋体" w:cs="宋体"/>
                <w:bCs/>
                <w:color w:val="000000"/>
                <w:lang w:val="en-US"/>
              </w:rPr>
              <w:t>月</w:t>
            </w:r>
            <w:r>
              <w:rPr>
                <w:rFonts w:hint="eastAsia" w:ascii="宋体" w:hAnsi="宋体" w:cs="宋体"/>
                <w:bCs/>
                <w:color w:val="000000"/>
                <w:lang w:val="en-US" w:eastAsia="zh-CN"/>
              </w:rPr>
              <w:t>1</w:t>
            </w:r>
            <w:r>
              <w:rPr>
                <w:rFonts w:hint="eastAsia" w:ascii="宋体" w:hAnsi="宋体" w:cs="宋体"/>
                <w:bCs/>
                <w:color w:val="000000"/>
                <w:lang w:val="en-US"/>
              </w:rPr>
              <w:t>日成立于中国广东省</w:t>
            </w:r>
            <w:r>
              <w:rPr>
                <w:rFonts w:hint="eastAsia" w:ascii="宋体" w:hAnsi="宋体" w:cs="宋体"/>
                <w:bCs/>
                <w:color w:val="000000"/>
                <w:lang w:val="en-US" w:eastAsia="zh-CN"/>
              </w:rPr>
              <w:t>汕尾</w:t>
            </w:r>
            <w:r>
              <w:rPr>
                <w:rFonts w:hint="eastAsia" w:ascii="宋体" w:hAnsi="宋体" w:cs="宋体"/>
                <w:bCs/>
                <w:color w:val="000000"/>
                <w:lang w:val="en-US"/>
              </w:rPr>
              <w:t>市，主要</w:t>
            </w:r>
            <w:r>
              <w:rPr>
                <w:rFonts w:hint="eastAsia" w:ascii="宋体" w:hAnsi="宋体" w:cs="宋体"/>
                <w:bCs/>
                <w:color w:val="000000"/>
                <w:lang w:val="en-US" w:eastAsia="zh-CN"/>
              </w:rPr>
              <w:t>从事城市建设、城市运营、土地开发和资本运作等业务。</w:t>
            </w:r>
          </w:p>
          <w:p>
            <w:pPr>
              <w:pStyle w:val="3"/>
              <w:adjustRightInd w:val="0"/>
              <w:snapToGrid w:val="0"/>
              <w:spacing w:after="0"/>
              <w:rPr>
                <w:rFonts w:hint="eastAsia" w:ascii="宋体" w:hAnsi="宋体" w:eastAsia="宋体" w:cs="宋体"/>
                <w:sz w:val="21"/>
                <w:szCs w:val="21"/>
              </w:rPr>
            </w:pPr>
            <w:r>
              <w:rPr>
                <w:rFonts w:hint="eastAsia" w:ascii="宋体" w:hAnsi="宋体" w:cs="宋体"/>
                <w:bCs/>
                <w:color w:val="000000"/>
                <w:lang w:val="en-US" w:eastAsia="zh-CN"/>
              </w:rPr>
              <w:t>汕尾投控是汕尾市人民政府国有资产监督管理委员会下属企业。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1607" w:type="dxa"/>
            <w:noWrap w:val="0"/>
            <w:vAlign w:val="center"/>
          </w:tcPr>
          <w:p>
            <w:pPr>
              <w:pStyle w:val="3"/>
              <w:adjustRightInd w:val="0"/>
              <w:snapToGrid w:val="0"/>
              <w:spacing w:after="0"/>
              <w:rPr>
                <w:rFonts w:hint="eastAsia" w:ascii="宋体" w:hAnsi="宋体" w:cs="宋体"/>
                <w:bCs/>
                <w:color w:val="000000"/>
                <w:lang w:eastAsia="zh-CN"/>
              </w:rPr>
            </w:pPr>
            <w:r>
              <w:rPr>
                <w:rFonts w:hint="eastAsia" w:ascii="宋体" w:hAnsi="宋体" w:cs="宋体"/>
                <w:bCs/>
                <w:color w:val="000000"/>
                <w:lang w:val="en-US" w:eastAsia="zh-CN"/>
              </w:rPr>
              <w:t>2.中山实业</w:t>
            </w:r>
          </w:p>
          <w:p>
            <w:pPr>
              <w:pStyle w:val="3"/>
              <w:adjustRightInd w:val="0"/>
              <w:snapToGrid w:val="0"/>
              <w:spacing w:after="0"/>
              <w:rPr>
                <w:rFonts w:hint="eastAsia" w:ascii="宋体" w:hAnsi="宋体" w:eastAsia="宋体" w:cs="宋体"/>
                <w:sz w:val="21"/>
                <w:szCs w:val="21"/>
                <w:lang w:eastAsia="zh-CN"/>
              </w:rPr>
            </w:pPr>
          </w:p>
        </w:tc>
        <w:tc>
          <w:tcPr>
            <w:tcW w:w="6093" w:type="dxa"/>
            <w:noWrap w:val="0"/>
            <w:vAlign w:val="center"/>
          </w:tcPr>
          <w:p>
            <w:pPr>
              <w:adjustRightInd w:val="0"/>
              <w:snapToGrid w:val="0"/>
              <w:spacing w:after="0"/>
              <w:rPr>
                <w:rFonts w:hint="eastAsia" w:ascii="宋体" w:hAnsi="宋体" w:cs="宋体"/>
              </w:rPr>
            </w:pPr>
            <w:r>
              <w:rPr>
                <w:rFonts w:hint="eastAsia" w:ascii="宋体" w:hAnsi="宋体" w:cs="宋体"/>
                <w:bCs/>
                <w:color w:val="000000"/>
                <w:lang w:val="en-US"/>
              </w:rPr>
              <w:t>中山实业</w:t>
            </w:r>
            <w:r>
              <w:rPr>
                <w:rFonts w:hint="eastAsia" w:ascii="宋体" w:hAnsi="宋体" w:cs="宋体"/>
              </w:rPr>
              <w:t>于</w:t>
            </w:r>
            <w:r>
              <w:rPr>
                <w:rFonts w:hint="eastAsia" w:ascii="宋体" w:hAnsi="宋体" w:cs="宋体"/>
                <w:lang w:val="en-US"/>
              </w:rPr>
              <w:t>1993</w:t>
            </w:r>
            <w:r>
              <w:rPr>
                <w:rFonts w:hint="eastAsia" w:ascii="宋体" w:hAnsi="宋体" w:cs="宋体"/>
              </w:rPr>
              <w:t>年</w:t>
            </w:r>
            <w:r>
              <w:rPr>
                <w:rFonts w:hint="eastAsia" w:ascii="宋体" w:hAnsi="宋体" w:cs="宋体"/>
                <w:lang w:val="en-US"/>
              </w:rPr>
              <w:t>6</w:t>
            </w:r>
            <w:r>
              <w:rPr>
                <w:rFonts w:hint="eastAsia" w:ascii="宋体" w:hAnsi="宋体" w:cs="宋体"/>
              </w:rPr>
              <w:t>月</w:t>
            </w:r>
            <w:r>
              <w:rPr>
                <w:rFonts w:hint="eastAsia" w:ascii="宋体" w:hAnsi="宋体" w:cs="宋体"/>
                <w:lang w:val="en-US"/>
              </w:rPr>
              <w:t>29</w:t>
            </w:r>
            <w:r>
              <w:rPr>
                <w:rFonts w:hint="eastAsia" w:ascii="宋体" w:hAnsi="宋体" w:cs="宋体"/>
              </w:rPr>
              <w:t>日成立于</w:t>
            </w:r>
            <w:r>
              <w:rPr>
                <w:rFonts w:hint="eastAsia" w:ascii="宋体" w:hAnsi="宋体" w:cs="宋体"/>
                <w:bCs/>
                <w:color w:val="000000"/>
                <w:lang w:val="en-US"/>
              </w:rPr>
              <w:t>中国广东省中山市</w:t>
            </w:r>
            <w:r>
              <w:rPr>
                <w:rFonts w:hint="eastAsia" w:ascii="宋体" w:hAnsi="宋体" w:cs="宋体"/>
              </w:rPr>
              <w:t>，</w:t>
            </w:r>
            <w:r>
              <w:rPr>
                <w:rFonts w:hint="eastAsia" w:ascii="宋体" w:hAnsi="宋体" w:cs="宋体"/>
                <w:lang w:val="en-US"/>
              </w:rPr>
              <w:t>主要业务为股权投资管理，</w:t>
            </w:r>
            <w:r>
              <w:rPr>
                <w:rFonts w:hint="eastAsia" w:ascii="宋体" w:hAnsi="宋体" w:cs="宋体"/>
              </w:rPr>
              <w:t>下属控股企业主要从事电力工程施工、设计、综合能源服务等</w:t>
            </w:r>
            <w:r>
              <w:rPr>
                <w:rFonts w:hint="eastAsia" w:ascii="宋体" w:hAnsi="宋体" w:cs="宋体"/>
                <w:lang w:val="en-US"/>
              </w:rPr>
              <w:t>业务</w:t>
            </w:r>
            <w:r>
              <w:rPr>
                <w:rFonts w:hint="eastAsia" w:ascii="宋体" w:hAnsi="宋体" w:cs="宋体"/>
              </w:rPr>
              <w:t>。</w:t>
            </w:r>
          </w:p>
          <w:p>
            <w:pPr>
              <w:adjustRightInd w:val="0"/>
              <w:snapToGrid w:val="0"/>
              <w:spacing w:after="0"/>
              <w:rPr>
                <w:rFonts w:hint="eastAsia" w:ascii="宋体" w:hAnsi="宋体" w:eastAsia="宋体" w:cs="宋体"/>
                <w:sz w:val="21"/>
                <w:szCs w:val="21"/>
                <w:lang w:val="en-US" w:eastAsia="zh-CN"/>
              </w:rPr>
            </w:pPr>
            <w:r>
              <w:rPr>
                <w:rFonts w:hint="eastAsia" w:ascii="宋体" w:hAnsi="宋体" w:cs="宋体"/>
                <w:bCs/>
                <w:color w:val="000000"/>
                <w:lang w:val="en-US"/>
              </w:rPr>
              <w:t>中山实业</w:t>
            </w:r>
            <w:r>
              <w:rPr>
                <w:rFonts w:hint="eastAsia" w:ascii="宋体" w:hAnsi="宋体" w:cs="宋体"/>
              </w:rPr>
              <w:t>最终控制人为中国南方电网有限责任公司，主要从事南方五省区电力供应、区域电网管理、电力交易与调度业务。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lang w:eastAsia="zh-CN"/>
              </w:rPr>
              <w:t>简易案件理由（可以单选，也可以多选）</w:t>
            </w: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lang w:eastAsia="zh-CN"/>
              </w:rPr>
              <w:sym w:font="Wingdings" w:char="00A8"/>
            </w:r>
            <w:r>
              <w:rPr>
                <w:rFonts w:hint="eastAsia" w:ascii="宋体" w:hAnsi="宋体" w:cs="宋体"/>
                <w:bCs/>
                <w:color w:val="000000"/>
                <w:lang w:eastAsia="zh-CN"/>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lang w:eastAsia="zh-CN"/>
              </w:rPr>
              <w:sym w:font="Wingdings" w:char="00A8"/>
            </w:r>
            <w:r>
              <w:rPr>
                <w:rFonts w:hint="eastAsia" w:ascii="宋体" w:hAnsi="宋体" w:cs="宋体"/>
                <w:bCs/>
                <w:color w:val="000000"/>
                <w:lang w:eastAsia="zh-CN"/>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lang w:eastAsia="zh-CN"/>
              </w:rPr>
              <w:sym w:font="Wingdings" w:char="00FE"/>
            </w:r>
            <w:r>
              <w:rPr>
                <w:rFonts w:hint="eastAsia" w:ascii="宋体" w:hAnsi="宋体" w:cs="宋体"/>
                <w:bCs/>
                <w:color w:val="000000"/>
                <w:lang w:eastAsia="zh-CN"/>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lang w:eastAsia="zh-CN"/>
              </w:rPr>
              <w:sym w:font="Wingdings" w:char="00A8"/>
            </w:r>
            <w:r>
              <w:rPr>
                <w:rFonts w:hint="eastAsia" w:ascii="宋体" w:hAnsi="宋体" w:cs="宋体"/>
                <w:bCs/>
                <w:color w:val="000000"/>
                <w:lang w:eastAsia="zh-CN"/>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lang w:eastAsia="zh-CN"/>
              </w:rPr>
              <w:sym w:font="Wingdings" w:char="00A8"/>
            </w:r>
            <w:r>
              <w:rPr>
                <w:rFonts w:hint="eastAsia" w:ascii="宋体" w:hAnsi="宋体" w:cs="宋体"/>
                <w:bCs/>
                <w:color w:val="000000"/>
                <w:lang w:eastAsia="zh-CN"/>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p>
        </w:tc>
        <w:tc>
          <w:tcPr>
            <w:tcW w:w="7700" w:type="dxa"/>
            <w:gridSpan w:val="2"/>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lang w:eastAsia="zh-CN"/>
              </w:rPr>
              <w:sym w:font="Wingdings" w:char="00A8"/>
            </w:r>
            <w:r>
              <w:rPr>
                <w:rFonts w:hint="eastAsia" w:ascii="宋体" w:hAnsi="宋体" w:cs="宋体"/>
                <w:bCs/>
                <w:color w:val="000000"/>
                <w:lang w:eastAsia="zh-CN"/>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pStyle w:val="3"/>
              <w:adjustRightInd w:val="0"/>
              <w:snapToGrid w:val="0"/>
              <w:spacing w:after="0"/>
              <w:rPr>
                <w:rFonts w:hint="eastAsia" w:ascii="宋体" w:hAnsi="宋体" w:eastAsia="宋体" w:cs="宋体"/>
                <w:sz w:val="21"/>
                <w:szCs w:val="21"/>
                <w:lang w:val="en-US"/>
              </w:rPr>
            </w:pPr>
            <w:r>
              <w:rPr>
                <w:rFonts w:hint="eastAsia" w:ascii="宋体" w:hAnsi="宋体" w:cs="宋体"/>
                <w:bCs/>
                <w:color w:val="000000"/>
                <w:lang w:val="en-US" w:eastAsia="zh-CN"/>
              </w:rPr>
              <w:t>备注</w:t>
            </w:r>
          </w:p>
        </w:tc>
        <w:tc>
          <w:tcPr>
            <w:tcW w:w="7700" w:type="dxa"/>
            <w:gridSpan w:val="2"/>
            <w:noWrap w:val="0"/>
            <w:vAlign w:val="center"/>
          </w:tcPr>
          <w:p>
            <w:pPr>
              <w:pStyle w:val="3"/>
              <w:adjustRightInd w:val="0"/>
              <w:snapToGrid w:val="0"/>
              <w:spacing w:after="0"/>
              <w:rPr>
                <w:rFonts w:hint="eastAsia" w:ascii="宋体" w:hAnsi="宋体" w:cs="宋体"/>
                <w:b/>
                <w:color w:val="000000"/>
                <w:lang w:eastAsia="zh-CN"/>
              </w:rPr>
            </w:pPr>
            <w:r>
              <w:rPr>
                <w:rFonts w:hint="eastAsia" w:ascii="宋体" w:hAnsi="宋体" w:cs="宋体"/>
                <w:b/>
                <w:color w:val="000000"/>
                <w:lang w:val="en-US" w:eastAsia="zh-CN"/>
              </w:rPr>
              <w:t>混合集中</w:t>
            </w:r>
            <w:r>
              <w:rPr>
                <w:rFonts w:hint="eastAsia" w:ascii="宋体" w:hAnsi="宋体" w:cs="宋体"/>
                <w:b/>
                <w:color w:val="000000"/>
                <w:lang w:eastAsia="zh-CN"/>
              </w:rPr>
              <w:t>：</w:t>
            </w:r>
          </w:p>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val="en-US" w:eastAsia="zh-CN"/>
              </w:rPr>
              <w:t>2022年</w:t>
            </w:r>
            <w:r>
              <w:rPr>
                <w:rFonts w:hint="eastAsia" w:ascii="宋体" w:hAnsi="宋体" w:cs="宋体"/>
                <w:bCs/>
                <w:color w:val="000000"/>
                <w:lang w:eastAsia="zh-CN"/>
              </w:rPr>
              <w:t>中国境内</w:t>
            </w:r>
            <w:r>
              <w:rPr>
                <w:rFonts w:hint="eastAsia" w:ascii="宋体" w:hAnsi="宋体" w:cs="宋体"/>
                <w:bCs/>
                <w:color w:val="000000"/>
                <w:lang w:val="en-US" w:eastAsia="zh-CN"/>
              </w:rPr>
              <w:t>输配电工程施工市场:</w:t>
            </w:r>
          </w:p>
          <w:p>
            <w:pPr>
              <w:pStyle w:val="3"/>
              <w:adjustRightInd w:val="0"/>
              <w:snapToGrid w:val="0"/>
              <w:spacing w:after="0"/>
              <w:rPr>
                <w:rFonts w:hint="eastAsia" w:ascii="宋体" w:hAnsi="宋体" w:eastAsia="宋体" w:cs="宋体"/>
                <w:sz w:val="21"/>
                <w:szCs w:val="21"/>
                <w:lang w:val="en-US" w:eastAsia="zh-CN"/>
              </w:rPr>
            </w:pPr>
            <w:r>
              <w:rPr>
                <w:rFonts w:hint="eastAsia" w:ascii="宋体" w:hAnsi="宋体" w:cs="宋体"/>
                <w:bCs/>
                <w:color w:val="000000"/>
                <w:lang w:val="en-US" w:eastAsia="zh-CN"/>
              </w:rPr>
              <w:t>中山实业（含汕尾汇能）：0-5%</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4NTY3Zjg3MDRkZTUxYmY0ODYwMzExMGJjZmYwNjYifQ=="/>
  </w:docVars>
  <w:rsids>
    <w:rsidRoot w:val="1678116A"/>
    <w:rsid w:val="1678116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after="156" w:afterLines="50" w:line="640" w:lineRule="exact"/>
      <w:outlineLvl w:val="0"/>
    </w:pPr>
    <w:rPr>
      <w:rFonts w:ascii="方正小标宋简体" w:eastAsia="方正小标宋简体"/>
      <w:sz w:val="44"/>
      <w:szCs w:val="36"/>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其他省直机关单位</Company>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2023-10-20T03:18:00Z</dcterms:created>
  <dc:creator>胡翌婧</dc:creator>
  <cp:lastModifiedBy>胡翌婧</cp:lastModifiedBy>
  <dcterms:modified xsi:type="dcterms:W3CDTF">2023-10-20T03:19:13Z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31880AF5CA35427C9386D68AF85CC292_11</vt:lpwstr>
  </property>
</Properties>
</file>