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pStyle w:val="19"/>
        <w:rPr>
          <w:rFonts w:hint="default" w:ascii="Times New Roman" w:hAnsi="Times New Roman" w:eastAsia="仿宋_GB2312" w:cs="Times New Roman"/>
          <w:szCs w:val="32"/>
        </w:rPr>
      </w:pPr>
    </w:p>
    <w:p>
      <w:pPr>
        <w:overflowPunct w:val="0"/>
        <w:spacing w:line="5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“小微企业质量管理体系认证提升行动”</w:t>
      </w:r>
    </w:p>
    <w:p>
      <w:pPr>
        <w:overflowPunct w:val="0"/>
        <w:spacing w:line="5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区域试点自评报告（参考提纲）</w:t>
      </w:r>
    </w:p>
    <w:p>
      <w:pPr>
        <w:pStyle w:val="19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spacing w:before="1" w:line="594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before="1" w:line="594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10"/>
        <w:rPr>
          <w:rFonts w:hint="default" w:ascii="Times New Roman" w:hAnsi="Times New Roman" w:cs="Times New Roman"/>
        </w:rPr>
      </w:pPr>
    </w:p>
    <w:p>
      <w:pPr>
        <w:spacing w:before="1" w:line="594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spacing w:before="1" w:line="594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区域试点名称：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</w:t>
      </w:r>
    </w:p>
    <w:p>
      <w:pPr>
        <w:spacing w:before="1" w:line="594" w:lineRule="exact"/>
        <w:ind w:left="630" w:leftChars="3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组 织 单 位：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 </w:t>
      </w:r>
    </w:p>
    <w:p>
      <w:pPr>
        <w:spacing w:before="1" w:line="594" w:lineRule="exact"/>
        <w:ind w:left="630" w:leftChars="3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组织单位联系人：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        </w:t>
      </w:r>
    </w:p>
    <w:p>
      <w:pPr>
        <w:spacing w:before="1" w:line="594" w:lineRule="exact"/>
        <w:ind w:left="630" w:leftChars="3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技术牵头单位：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</w:t>
      </w:r>
    </w:p>
    <w:p>
      <w:pPr>
        <w:spacing w:before="1" w:line="594" w:lineRule="exact"/>
        <w:ind w:left="630" w:leftChars="300"/>
        <w:jc w:val="left"/>
        <w:rPr>
          <w:rFonts w:hint="default"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技术牵头单位联系人：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</w:p>
    <w:p>
      <w:pPr>
        <w:spacing w:before="1" w:line="594" w:lineRule="exact"/>
        <w:ind w:left="630" w:leftChars="300"/>
        <w:jc w:val="left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其他参与单位：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                             </w:t>
      </w:r>
    </w:p>
    <w:p>
      <w:pPr>
        <w:spacing w:before="1" w:line="594" w:lineRule="exact"/>
        <w:ind w:left="630" w:leftChars="300"/>
        <w:jc w:val="left"/>
        <w:rPr>
          <w:rFonts w:hint="default"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实 施 周 期：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 xml:space="preserve">   XXXX年XX月</w:t>
      </w:r>
      <w:r>
        <w:rPr>
          <w:rFonts w:hint="default" w:ascii="Times New Roman" w:hAnsi="Times New Roman" w:eastAsia="仿宋_GB2312" w:cs="Times New Roman"/>
          <w:color w:val="000000"/>
          <w:sz w:val="28"/>
          <w:szCs w:val="28"/>
          <w:u w:val="single"/>
        </w:rPr>
        <w:t>—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>XXXX年XX月</w:t>
      </w:r>
    </w:p>
    <w:p>
      <w:pPr>
        <w:spacing w:before="1" w:line="594" w:lineRule="exact"/>
        <w:ind w:left="630" w:leftChars="300"/>
        <w:jc w:val="lef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</w:p>
    <w:p>
      <w:pPr>
        <w:pStyle w:val="19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Cs w:val="32"/>
        </w:rPr>
        <w:br w:type="page"/>
      </w:r>
    </w:p>
    <w:p>
      <w:pPr>
        <w:rPr>
          <w:rFonts w:hint="default" w:ascii="Times New Roman" w:hAnsi="Times New Roman" w:eastAsia="黑体" w:cs="Times New Roman"/>
          <w:sz w:val="28"/>
          <w:szCs w:val="28"/>
        </w:rPr>
      </w:pPr>
    </w:p>
    <w:p>
      <w:pPr>
        <w:overflowPunct w:val="0"/>
        <w:spacing w:line="5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摘要</w:t>
      </w:r>
    </w:p>
    <w:p>
      <w:pPr>
        <w:overflowPunct w:val="0"/>
        <w:spacing w:line="5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（500字以内）</w:t>
      </w:r>
    </w:p>
    <w:p>
      <w:pPr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rPr>
          <w:rFonts w:hint="default" w:ascii="Times New Roman" w:hAnsi="Times New Roman" w:eastAsia="仿宋_GB2312" w:cs="Times New Roman"/>
          <w:sz w:val="28"/>
          <w:szCs w:val="28"/>
        </w:rPr>
      </w:pPr>
    </w:p>
    <w:p>
      <w:pPr>
        <w:pStyle w:val="19"/>
        <w:rPr>
          <w:rFonts w:hint="default" w:ascii="Times New Roman" w:hAnsi="Times New Roman" w:cs="Times New Roman"/>
        </w:rPr>
      </w:pP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br w:type="page"/>
      </w: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“小微企业质量管理体系认证提升行动”</w:t>
      </w:r>
    </w:p>
    <w:p>
      <w:pPr>
        <w:spacing w:line="58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区域试点自评报告（格式）</w:t>
      </w:r>
    </w:p>
    <w:p>
      <w:pPr>
        <w:pStyle w:val="3"/>
        <w:numPr>
          <w:ilvl w:val="0"/>
          <w:numId w:val="1"/>
        </w:numPr>
        <w:spacing w:after="0" w:line="594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背景需求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阐述区域试点的产业背景和需求，重点评估试点区域产业质量提升需求、区域产业共性质量“痛点”的梳理情况。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（一）试点区域产业基本情况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（二）区域产业质量提升主要需求分析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（三）区域产业共性质量“痛点”梳理</w:t>
      </w:r>
    </w:p>
    <w:p>
      <w:pPr>
        <w:pStyle w:val="3"/>
        <w:numPr>
          <w:ilvl w:val="0"/>
          <w:numId w:val="1"/>
        </w:numPr>
        <w:spacing w:after="0" w:line="594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工作举措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重点评估试点单位在组织发动、组织保障、帮扶政策、帮扶手段和培训宣传等方面的重要举措和创新做法。请分条阐述。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（一）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（二）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</w:t>
      </w: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8"/>
          <w:szCs w:val="28"/>
        </w:rPr>
        <w:t>）</w:t>
      </w:r>
    </w:p>
    <w:p>
      <w:pPr>
        <w:pStyle w:val="3"/>
        <w:numPr>
          <w:ilvl w:val="0"/>
          <w:numId w:val="1"/>
        </w:numPr>
        <w:spacing w:after="0" w:line="594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试点成效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参考试点成效评价指标体系（附件1），重点评估试点工作在梳理解决产业共性质量管理问题、促进区域产业发展、区域试点成效推广、服务经济社会发展等方面的工作成效。请分条阐述。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（一）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（二）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</w:t>
      </w:r>
      <w:r>
        <w:rPr>
          <w:rFonts w:hint="default" w:ascii="Times New Roman" w:hAnsi="Times New Roman" w:eastAsia="楷体_GB2312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z w:val="28"/>
          <w:szCs w:val="28"/>
        </w:rPr>
        <w:t>）</w:t>
      </w:r>
    </w:p>
    <w:p>
      <w:pPr>
        <w:pStyle w:val="3"/>
        <w:numPr>
          <w:ilvl w:val="0"/>
          <w:numId w:val="1"/>
        </w:numPr>
        <w:spacing w:after="0" w:line="594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经验模式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评估区域试点工作的亮点、典型经验和创新模式。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（一）工作亮点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（二）帮扶模式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（三）典型经验</w:t>
      </w:r>
    </w:p>
    <w:p>
      <w:pPr>
        <w:pStyle w:val="3"/>
        <w:numPr>
          <w:ilvl w:val="0"/>
          <w:numId w:val="1"/>
        </w:numPr>
        <w:spacing w:after="0" w:line="594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存在问题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评估当前区域试点工作存在的主要问题和面临的风险挑战。</w:t>
      </w:r>
    </w:p>
    <w:p>
      <w:pPr>
        <w:pStyle w:val="3"/>
        <w:numPr>
          <w:ilvl w:val="0"/>
          <w:numId w:val="1"/>
        </w:numPr>
        <w:spacing w:after="0" w:line="594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下一步工作计划及建议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（一）下一步工作计划</w:t>
      </w:r>
    </w:p>
    <w:p>
      <w:pPr>
        <w:pStyle w:val="3"/>
        <w:spacing w:line="594" w:lineRule="exact"/>
        <w:ind w:firstLine="560" w:firstLineChars="200"/>
        <w:rPr>
          <w:rFonts w:hint="default" w:ascii="Times New Roman" w:hAnsi="Times New Roman" w:eastAsia="楷体_GB2312" w:cs="Times New Roman"/>
          <w:sz w:val="28"/>
          <w:szCs w:val="28"/>
        </w:rPr>
      </w:pPr>
      <w:r>
        <w:rPr>
          <w:rFonts w:hint="default" w:ascii="Times New Roman" w:hAnsi="Times New Roman" w:eastAsia="楷体_GB2312" w:cs="Times New Roman"/>
          <w:sz w:val="28"/>
          <w:szCs w:val="28"/>
        </w:rPr>
        <w:t>（二）工作建议</w:t>
      </w:r>
    </w:p>
    <w:p>
      <w:pPr>
        <w:pStyle w:val="19"/>
        <w:rPr>
          <w:rFonts w:hint="default" w:ascii="Times New Roman" w:hAnsi="Times New Roman" w:cs="Times New Roman"/>
        </w:rPr>
      </w:pPr>
    </w:p>
    <w:p>
      <w:pPr>
        <w:pStyle w:val="19"/>
        <w:rPr>
          <w:rFonts w:hint="default" w:ascii="Times New Roman" w:hAnsi="Times New Roman" w:cs="Times New Roman"/>
        </w:rPr>
      </w:pPr>
    </w:p>
    <w:p>
      <w:pPr>
        <w:pStyle w:val="19"/>
        <w:rPr>
          <w:rFonts w:hint="default" w:ascii="Times New Roman" w:hAnsi="Times New Roman" w:cs="Times New Roman"/>
        </w:rPr>
      </w:pPr>
    </w:p>
    <w:p>
      <w:pPr>
        <w:pStyle w:val="19"/>
        <w:rPr>
          <w:rFonts w:hint="default" w:ascii="Times New Roman" w:hAnsi="Times New Roman" w:cs="Times New Roman"/>
        </w:rPr>
      </w:pPr>
    </w:p>
    <w:p>
      <w:pPr>
        <w:pStyle w:val="19"/>
        <w:rPr>
          <w:rFonts w:hint="default" w:ascii="Times New Roman" w:hAnsi="Times New Roman" w:cs="Times New Roman"/>
        </w:rPr>
      </w:pPr>
    </w:p>
    <w:p>
      <w:pPr>
        <w:pStyle w:val="19"/>
        <w:rPr>
          <w:rFonts w:hint="default" w:ascii="Times New Roman" w:hAnsi="Times New Roman" w:cs="Times New Roman"/>
        </w:rPr>
      </w:pPr>
    </w:p>
    <w:p>
      <w:pPr>
        <w:pStyle w:val="19"/>
        <w:rPr>
          <w:rFonts w:hint="default" w:ascii="Times New Roman" w:hAnsi="Times New Roman" w:cs="Times New Roman"/>
        </w:rPr>
      </w:pPr>
    </w:p>
    <w:p>
      <w:pPr>
        <w:pStyle w:val="19"/>
        <w:rPr>
          <w:rFonts w:hint="default" w:ascii="Times New Roman" w:hAnsi="Times New Roman" w:cs="Times New Roman"/>
        </w:rPr>
      </w:pPr>
    </w:p>
    <w:p>
      <w:pPr>
        <w:pStyle w:val="19"/>
        <w:rPr>
          <w:rFonts w:hint="default" w:ascii="Times New Roman" w:hAnsi="Times New Roman" w:cs="Times New Roman"/>
        </w:rPr>
        <w:sectPr>
          <w:footerReference r:id="rId3" w:type="default"/>
          <w:pgSz w:w="11906" w:h="16838"/>
          <w:pgMar w:top="1080" w:right="1440" w:bottom="108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Hlk144821281"/>
      <w:r>
        <w:rPr>
          <w:rFonts w:hint="default" w:ascii="Times New Roman" w:hAnsi="Times New Roman" w:eastAsia="黑体" w:cs="Times New Roman"/>
          <w:sz w:val="32"/>
          <w:szCs w:val="32"/>
        </w:rPr>
        <w:t>附表</w:t>
      </w:r>
    </w:p>
    <w:tbl>
      <w:tblPr>
        <w:tblStyle w:val="14"/>
        <w:tblpPr w:leftFromText="180" w:rightFromText="180" w:vertAnchor="text" w:tblpY="1"/>
        <w:tblOverlap w:val="never"/>
        <w:tblW w:w="500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"/>
        <w:gridCol w:w="507"/>
        <w:gridCol w:w="754"/>
        <w:gridCol w:w="92"/>
        <w:gridCol w:w="846"/>
        <w:gridCol w:w="176"/>
        <w:gridCol w:w="670"/>
        <w:gridCol w:w="381"/>
        <w:gridCol w:w="465"/>
        <w:gridCol w:w="694"/>
        <w:gridCol w:w="152"/>
        <w:gridCol w:w="846"/>
        <w:gridCol w:w="164"/>
        <w:gridCol w:w="682"/>
        <w:gridCol w:w="194"/>
        <w:gridCol w:w="652"/>
        <w:gridCol w:w="506"/>
        <w:gridCol w:w="340"/>
        <w:gridCol w:w="733"/>
        <w:gridCol w:w="113"/>
        <w:gridCol w:w="599"/>
        <w:gridCol w:w="199"/>
        <w:gridCol w:w="419"/>
        <w:gridCol w:w="20"/>
        <w:gridCol w:w="791"/>
        <w:gridCol w:w="20"/>
        <w:gridCol w:w="3"/>
        <w:gridCol w:w="788"/>
        <w:gridCol w:w="18"/>
        <w:gridCol w:w="346"/>
        <w:gridCol w:w="272"/>
        <w:gridCol w:w="20"/>
        <w:gridCol w:w="791"/>
        <w:gridCol w:w="9"/>
        <w:gridCol w:w="108"/>
        <w:gridCol w:w="694"/>
        <w:gridCol w:w="8"/>
        <w:gridCol w:w="574"/>
        <w:gridCol w:w="182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pct"/>
          <w:trHeight w:val="633" w:hRule="atLeast"/>
        </w:trPr>
        <w:tc>
          <w:tcPr>
            <w:tcW w:w="4997" w:type="pct"/>
            <w:gridSpan w:val="39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方正小标宋简体" w:cs="Times New Roman"/>
                <w:sz w:val="36"/>
                <w:szCs w:val="36"/>
              </w:rPr>
              <w:t>提升行动区域试点工作统计表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pct"/>
          <w:trHeight w:val="3059" w:hRule="atLeast"/>
        </w:trPr>
        <w:tc>
          <w:tcPr>
            <w:tcW w:w="203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试点产业名称</w:t>
            </w:r>
          </w:p>
        </w:tc>
        <w:tc>
          <w:tcPr>
            <w:tcW w:w="284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区域小微企业总数（家）</w:t>
            </w:r>
          </w:p>
        </w:tc>
        <w:tc>
          <w:tcPr>
            <w:tcW w:w="284" w:type="pc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参与“提升行动”区域试点的小微企业数量（家）</w:t>
            </w:r>
          </w:p>
        </w:tc>
        <w:tc>
          <w:tcPr>
            <w:tcW w:w="284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参与“提升行动”区域试点——培训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的小微企业数量（家）</w:t>
            </w:r>
          </w:p>
        </w:tc>
        <w:tc>
          <w:tcPr>
            <w:tcW w:w="284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参与“提升行动”区域试点——精准帮扶的小微企业数量（家）</w:t>
            </w:r>
          </w:p>
        </w:tc>
        <w:tc>
          <w:tcPr>
            <w:tcW w:w="284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“一把手”亲自部署提升行动的微企业数量（家）</w:t>
            </w:r>
          </w:p>
        </w:tc>
        <w:tc>
          <w:tcPr>
            <w:tcW w:w="284" w:type="pct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参与“提升行动”建立质量管理体系的小微企业数量（家）</w:t>
            </w:r>
          </w:p>
        </w:tc>
        <w:tc>
          <w:tcPr>
            <w:tcW w:w="284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建立数字化质量管理系统的小微企业数量（家）</w:t>
            </w:r>
          </w:p>
        </w:tc>
        <w:tc>
          <w:tcPr>
            <w:tcW w:w="284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梳理发现质量管理共性“痛点”数量（个）</w:t>
            </w:r>
          </w:p>
        </w:tc>
        <w:tc>
          <w:tcPr>
            <w:tcW w:w="284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解决区域产业共性质量管理“痛点”问题（个）</w:t>
            </w:r>
          </w:p>
        </w:tc>
        <w:tc>
          <w:tcPr>
            <w:tcW w:w="284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通过“提升行动”区域试点培育企业质量管理人才数量（人）</w:t>
            </w:r>
          </w:p>
        </w:tc>
        <w:tc>
          <w:tcPr>
            <w:tcW w:w="443" w:type="pct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产品质量水平提升率（%）</w:t>
            </w:r>
          </w:p>
        </w:tc>
        <w:tc>
          <w:tcPr>
            <w:tcW w:w="249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客户满意度（%）</w:t>
            </w:r>
          </w:p>
        </w:tc>
        <w:tc>
          <w:tcPr>
            <w:tcW w:w="249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投诉率（%）</w:t>
            </w:r>
          </w:p>
        </w:tc>
        <w:tc>
          <w:tcPr>
            <w:tcW w:w="213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区域产业产值变化（万元/亿元）</w:t>
            </w:r>
          </w:p>
        </w:tc>
        <w:tc>
          <w:tcPr>
            <w:tcW w:w="249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区域产业市场占有率（%）</w:t>
            </w:r>
          </w:p>
        </w:tc>
        <w:tc>
          <w:tcPr>
            <w:tcW w:w="278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区域产业占GDP比重（%）</w:t>
            </w:r>
          </w:p>
        </w:tc>
        <w:tc>
          <w:tcPr>
            <w:tcW w:w="277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区域产业出口产值变化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3" w:type="pct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5" w:type="pct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华文仿宋" w:cs="Times New Roman"/>
                <w:color w:val="808080"/>
                <w:szCs w:val="21"/>
              </w:rPr>
            </w:pPr>
            <w:r>
              <w:rPr>
                <w:rFonts w:hint="default" w:ascii="Times New Roman" w:hAnsi="Times New Roman" w:eastAsia="华文仿宋" w:cs="Times New Roman"/>
                <w:color w:val="000000"/>
                <w:kern w:val="0"/>
                <w:szCs w:val="21"/>
                <w:lang w:bidi="ar"/>
              </w:rPr>
              <w:t>产品合格率</w:t>
            </w:r>
          </w:p>
        </w:tc>
        <w:tc>
          <w:tcPr>
            <w:tcW w:w="214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 xml:space="preserve">提升前：  </w:t>
            </w:r>
          </w:p>
        </w:tc>
        <w:tc>
          <w:tcPr>
            <w:tcW w:w="249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 xml:space="preserve">提升前：  </w:t>
            </w:r>
          </w:p>
        </w:tc>
        <w:tc>
          <w:tcPr>
            <w:tcW w:w="249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 xml:space="preserve">提升前：  </w:t>
            </w:r>
          </w:p>
        </w:tc>
        <w:tc>
          <w:tcPr>
            <w:tcW w:w="213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 xml:space="preserve">提升前：  </w:t>
            </w:r>
          </w:p>
        </w:tc>
        <w:tc>
          <w:tcPr>
            <w:tcW w:w="246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 xml:space="preserve">提升前：  </w:t>
            </w:r>
          </w:p>
        </w:tc>
        <w:tc>
          <w:tcPr>
            <w:tcW w:w="280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 xml:space="preserve">提升前：  </w:t>
            </w:r>
          </w:p>
        </w:tc>
        <w:tc>
          <w:tcPr>
            <w:tcW w:w="275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 xml:space="preserve">提升前：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03" w:type="pct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5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color w:val="808080"/>
                <w:szCs w:val="21"/>
              </w:rPr>
            </w:pPr>
          </w:p>
        </w:tc>
        <w:tc>
          <w:tcPr>
            <w:tcW w:w="214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提升后：</w:t>
            </w:r>
          </w:p>
        </w:tc>
        <w:tc>
          <w:tcPr>
            <w:tcW w:w="249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提升后：</w:t>
            </w:r>
          </w:p>
        </w:tc>
        <w:tc>
          <w:tcPr>
            <w:tcW w:w="249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提升后：</w:t>
            </w:r>
          </w:p>
        </w:tc>
        <w:tc>
          <w:tcPr>
            <w:tcW w:w="213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提升后：</w:t>
            </w:r>
          </w:p>
        </w:tc>
        <w:tc>
          <w:tcPr>
            <w:tcW w:w="246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提升后：</w:t>
            </w:r>
          </w:p>
        </w:tc>
        <w:tc>
          <w:tcPr>
            <w:tcW w:w="280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提升后：</w:t>
            </w:r>
          </w:p>
        </w:tc>
        <w:tc>
          <w:tcPr>
            <w:tcW w:w="275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提升后：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203" w:type="pct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5" w:type="pct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华文仿宋" w:cs="Times New Roman"/>
                <w:color w:val="808080"/>
                <w:szCs w:val="21"/>
              </w:rPr>
            </w:pPr>
            <w:r>
              <w:rPr>
                <w:rFonts w:hint="default" w:ascii="Times New Roman" w:hAnsi="Times New Roman" w:eastAsia="华文仿宋" w:cs="Times New Roman"/>
                <w:color w:val="000000"/>
                <w:kern w:val="0"/>
                <w:szCs w:val="21"/>
                <w:lang w:bidi="ar"/>
              </w:rPr>
              <w:t>一次合格率</w:t>
            </w:r>
          </w:p>
        </w:tc>
        <w:tc>
          <w:tcPr>
            <w:tcW w:w="214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 xml:space="preserve">提升前：  </w:t>
            </w:r>
          </w:p>
        </w:tc>
        <w:tc>
          <w:tcPr>
            <w:tcW w:w="24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49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3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6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0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03" w:type="pct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5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color w:val="808080"/>
                <w:szCs w:val="21"/>
              </w:rPr>
            </w:pPr>
          </w:p>
        </w:tc>
        <w:tc>
          <w:tcPr>
            <w:tcW w:w="214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提升后：</w:t>
            </w:r>
          </w:p>
        </w:tc>
        <w:tc>
          <w:tcPr>
            <w:tcW w:w="24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49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3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6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0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03" w:type="pct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5" w:type="pct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华文仿宋" w:cs="Times New Roman"/>
                <w:color w:val="808080"/>
                <w:szCs w:val="21"/>
              </w:rPr>
            </w:pPr>
            <w:r>
              <w:rPr>
                <w:rFonts w:hint="default" w:ascii="Times New Roman" w:hAnsi="Times New Roman" w:eastAsia="华文仿宋" w:cs="Times New Roman"/>
                <w:color w:val="000000"/>
                <w:kern w:val="0"/>
                <w:szCs w:val="21"/>
                <w:lang w:bidi="ar"/>
              </w:rPr>
              <w:t>残次品率</w:t>
            </w:r>
          </w:p>
        </w:tc>
        <w:tc>
          <w:tcPr>
            <w:tcW w:w="214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 xml:space="preserve">提升前：  </w:t>
            </w:r>
          </w:p>
        </w:tc>
        <w:tc>
          <w:tcPr>
            <w:tcW w:w="24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49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3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6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0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03" w:type="pct"/>
            <w:gridSpan w:val="2"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4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35" w:type="pct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华文仿宋" w:cs="Times New Roman"/>
                <w:color w:val="808080"/>
                <w:szCs w:val="21"/>
              </w:rPr>
            </w:pPr>
          </w:p>
        </w:tc>
        <w:tc>
          <w:tcPr>
            <w:tcW w:w="214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提升后：</w:t>
            </w:r>
          </w:p>
        </w:tc>
        <w:tc>
          <w:tcPr>
            <w:tcW w:w="24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49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213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46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80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275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Cs w:val="21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29" w:type="pct"/>
          <w:wAfter w:w="67" w:type="pct"/>
          <w:trHeight w:val="3100" w:hRule="atLeast"/>
        </w:trPr>
        <w:tc>
          <w:tcPr>
            <w:tcW w:w="427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参与“提升行动”区域试点获高新技术认定企业数量（家）</w:t>
            </w:r>
          </w:p>
        </w:tc>
        <w:tc>
          <w:tcPr>
            <w:tcW w:w="374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开展质量管理贯标达标小微企业数量（家）</w:t>
            </w:r>
          </w:p>
        </w:tc>
        <w:tc>
          <w:tcPr>
            <w:tcW w:w="353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试点产业获质量奖数量（个）</w:t>
            </w:r>
          </w:p>
        </w:tc>
        <w:tc>
          <w:tcPr>
            <w:tcW w:w="389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试点产业获示范区数量（个）</w:t>
            </w:r>
          </w:p>
        </w:tc>
        <w:tc>
          <w:tcPr>
            <w:tcW w:w="390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试点产业培育“专精特新小巨人”企业数量（家）</w:t>
            </w:r>
          </w:p>
        </w:tc>
        <w:tc>
          <w:tcPr>
            <w:tcW w:w="294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梳理发现产业链供应链“痛点”问题（个）</w:t>
            </w:r>
          </w:p>
        </w:tc>
        <w:tc>
          <w:tcPr>
            <w:tcW w:w="389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通过“提升行动”区域试点解决区域产业共性质量管理“痛点”问题（个）</w:t>
            </w:r>
          </w:p>
        </w:tc>
        <w:tc>
          <w:tcPr>
            <w:tcW w:w="360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“提升行动”区域试点中链主企业数量（家）</w:t>
            </w:r>
          </w:p>
        </w:tc>
        <w:tc>
          <w:tcPr>
            <w:tcW w:w="340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帮扶技术创新数量（项/个）</w:t>
            </w:r>
          </w:p>
        </w:tc>
        <w:tc>
          <w:tcPr>
            <w:tcW w:w="397" w:type="pct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帮扶成熟度表征数量（项/个）</w:t>
            </w:r>
          </w:p>
        </w:tc>
        <w:tc>
          <w:tcPr>
            <w:tcW w:w="364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配套资金金额（万元）</w:t>
            </w:r>
          </w:p>
        </w:tc>
        <w:tc>
          <w:tcPr>
            <w:tcW w:w="380" w:type="pct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相关方参与数量（个/人）</w:t>
            </w:r>
          </w:p>
        </w:tc>
        <w:tc>
          <w:tcPr>
            <w:tcW w:w="449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扶持激励政策（项）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29" w:type="pct"/>
          <w:wAfter w:w="67" w:type="pct"/>
          <w:trHeight w:val="980" w:hRule="atLeast"/>
        </w:trPr>
        <w:tc>
          <w:tcPr>
            <w:tcW w:w="427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4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53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国家级：</w:t>
            </w:r>
          </w:p>
        </w:tc>
        <w:tc>
          <w:tcPr>
            <w:tcW w:w="389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国家级：</w:t>
            </w:r>
          </w:p>
        </w:tc>
        <w:tc>
          <w:tcPr>
            <w:tcW w:w="390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国家级：</w:t>
            </w:r>
          </w:p>
        </w:tc>
        <w:tc>
          <w:tcPr>
            <w:tcW w:w="294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8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40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  <w:t>标准：</w:t>
            </w:r>
          </w:p>
        </w:tc>
        <w:tc>
          <w:tcPr>
            <w:tcW w:w="397" w:type="pct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形成帮扶工作指南：</w:t>
            </w:r>
          </w:p>
        </w:tc>
        <w:tc>
          <w:tcPr>
            <w:tcW w:w="364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80" w:type="pct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认证机构：</w:t>
            </w:r>
          </w:p>
        </w:tc>
        <w:tc>
          <w:tcPr>
            <w:tcW w:w="449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29" w:type="pct"/>
          <w:wAfter w:w="67" w:type="pct"/>
          <w:trHeight w:val="980" w:hRule="atLeast"/>
        </w:trPr>
        <w:tc>
          <w:tcPr>
            <w:tcW w:w="427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4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53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省级：</w:t>
            </w:r>
          </w:p>
        </w:tc>
        <w:tc>
          <w:tcPr>
            <w:tcW w:w="389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省级及以下：</w:t>
            </w:r>
          </w:p>
        </w:tc>
        <w:tc>
          <w:tcPr>
            <w:tcW w:w="390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省级及以下：</w:t>
            </w:r>
          </w:p>
        </w:tc>
        <w:tc>
          <w:tcPr>
            <w:tcW w:w="294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8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40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制度：</w:t>
            </w:r>
          </w:p>
        </w:tc>
        <w:tc>
          <w:tcPr>
            <w:tcW w:w="397" w:type="pct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典型案例：</w:t>
            </w:r>
          </w:p>
        </w:tc>
        <w:tc>
          <w:tcPr>
            <w:tcW w:w="364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80" w:type="pct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产业/工业园区：</w:t>
            </w:r>
          </w:p>
        </w:tc>
        <w:tc>
          <w:tcPr>
            <w:tcW w:w="449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29" w:type="pct"/>
          <w:wAfter w:w="67" w:type="pct"/>
          <w:trHeight w:val="860" w:hRule="atLeast"/>
        </w:trPr>
        <w:tc>
          <w:tcPr>
            <w:tcW w:w="427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4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53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市级：</w:t>
            </w:r>
          </w:p>
        </w:tc>
        <w:tc>
          <w:tcPr>
            <w:tcW w:w="38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90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294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8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40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规则：</w:t>
            </w:r>
          </w:p>
        </w:tc>
        <w:tc>
          <w:tcPr>
            <w:tcW w:w="397" w:type="pct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工作法：</w:t>
            </w:r>
          </w:p>
        </w:tc>
        <w:tc>
          <w:tcPr>
            <w:tcW w:w="364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80" w:type="pct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学协会：</w:t>
            </w:r>
          </w:p>
        </w:tc>
        <w:tc>
          <w:tcPr>
            <w:tcW w:w="449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29" w:type="pct"/>
          <w:wAfter w:w="67" w:type="pct"/>
          <w:trHeight w:val="860" w:hRule="atLeast"/>
        </w:trPr>
        <w:tc>
          <w:tcPr>
            <w:tcW w:w="427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4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53" w:type="pct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县级：</w:t>
            </w:r>
          </w:p>
        </w:tc>
        <w:tc>
          <w:tcPr>
            <w:tcW w:w="38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90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294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8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40" w:type="pct"/>
            <w:gridSpan w:val="3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方案：</w:t>
            </w:r>
          </w:p>
        </w:tc>
        <w:tc>
          <w:tcPr>
            <w:tcW w:w="397" w:type="pct"/>
            <w:gridSpan w:val="5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64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80" w:type="pct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联盟：</w:t>
            </w:r>
          </w:p>
        </w:tc>
        <w:tc>
          <w:tcPr>
            <w:tcW w:w="449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2"/>
          <w:wBefore w:w="29" w:type="pct"/>
          <w:wAfter w:w="67" w:type="pct"/>
          <w:trHeight w:val="860" w:hRule="atLeast"/>
        </w:trPr>
        <w:tc>
          <w:tcPr>
            <w:tcW w:w="427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74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53" w:type="pct"/>
            <w:gridSpan w:val="2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38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90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294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89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60" w:type="pct"/>
            <w:gridSpan w:val="2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40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97" w:type="pct"/>
            <w:gridSpan w:val="5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64" w:type="pct"/>
            <w:gridSpan w:val="3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</w:p>
        </w:tc>
        <w:tc>
          <w:tcPr>
            <w:tcW w:w="380" w:type="pct"/>
            <w:gridSpan w:val="5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2"/>
                <w:szCs w:val="22"/>
                <w:lang w:bidi="ar"/>
              </w:rPr>
              <w:t>专家：</w:t>
            </w:r>
          </w:p>
        </w:tc>
        <w:tc>
          <w:tcPr>
            <w:tcW w:w="449" w:type="pct"/>
            <w:gridSpan w:val="3"/>
            <w:noWrap/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>
      <w:pPr>
        <w:spacing w:line="594" w:lineRule="exact"/>
        <w:rPr>
          <w:rFonts w:hint="default" w:ascii="Times New Roman" w:hAnsi="Times New Roman" w:eastAsia="方正仿宋简体" w:cs="Times New Roman"/>
          <w:sz w:val="44"/>
          <w:szCs w:val="44"/>
        </w:rPr>
      </w:pPr>
    </w:p>
    <w:p>
      <w:pPr>
        <w:pStyle w:val="19"/>
        <w:rPr>
          <w:rFonts w:hint="default" w:ascii="Times New Roman" w:hAnsi="Times New Roman" w:cs="Times New Roman"/>
        </w:rPr>
        <w:sectPr>
          <w:pgSz w:w="16838" w:h="11906" w:orient="landscape"/>
          <w:pgMar w:top="1440" w:right="1080" w:bottom="1440" w:left="108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Style w:val="10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备注</w:t>
      </w:r>
    </w:p>
    <w:p>
      <w:pPr>
        <w:pStyle w:val="10"/>
        <w:spacing w:before="156" w:beforeLines="50" w:after="156" w:afterLines="50" w:line="594" w:lineRule="exact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企业行业分类</w:t>
      </w:r>
    </w:p>
    <w:tbl>
      <w:tblPr>
        <w:tblStyle w:val="1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5526"/>
        <w:gridCol w:w="1233"/>
        <w:gridCol w:w="6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编号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大类名称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编号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大类名称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农业、林业和渔业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21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航空航天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采矿业和采石业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22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其他运输设备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食品、饮料和烟草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23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其他未另分类制造业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4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纺织品及纺织制品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24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回收业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5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皮革及皮革制品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25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供电业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6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木材及木制品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26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供气业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7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纸浆、纸及纸制品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27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供水业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8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出版业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28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建设业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9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印刷业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29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批发和零售业；汽车、摩托、个人及家庭用品修理业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10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焦炭及精炼石油制品的制造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30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宾馆及餐馆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11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核燃料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31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运输、仓储和通信业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12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化学品、化学制品及纤维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32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金融中介、房地产和租赁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13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药品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33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14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橡胶和塑料制品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34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工程服务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15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非金属矿物制品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35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其他服务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16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混凝土、水泥、石灰、石膏及其他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36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公共行政管理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17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基础金属及金属制品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37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18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机械及设备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38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健康和社会工作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19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电和光学设备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39</w:t>
            </w: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其他社会服务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20</w:t>
            </w:r>
          </w:p>
        </w:tc>
        <w:tc>
          <w:tcPr>
            <w:tcW w:w="1855" w:type="pct"/>
            <w:vAlign w:val="center"/>
          </w:tcPr>
          <w:p>
            <w:pPr>
              <w:pStyle w:val="10"/>
              <w:spacing w:line="440" w:lineRule="exact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  <w:t>造船业</w:t>
            </w:r>
          </w:p>
        </w:tc>
        <w:tc>
          <w:tcPr>
            <w:tcW w:w="414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</w:p>
        </w:tc>
        <w:tc>
          <w:tcPr>
            <w:tcW w:w="2335" w:type="pct"/>
            <w:vAlign w:val="center"/>
          </w:tcPr>
          <w:p>
            <w:pPr>
              <w:pStyle w:val="1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w w:val="90"/>
                <w:sz w:val="24"/>
                <w:szCs w:val="22"/>
              </w:rPr>
            </w:pPr>
          </w:p>
        </w:tc>
      </w:tr>
    </w:tbl>
    <w:p>
      <w:pPr>
        <w:pStyle w:val="19"/>
        <w:rPr>
          <w:rFonts w:hint="default" w:ascii="Times New Roman" w:hAnsi="Times New Roman" w:cs="Times New Roman"/>
        </w:rPr>
      </w:pPr>
      <w:bookmarkStart w:id="1" w:name="_GoBack"/>
      <w:bookmarkEnd w:id="1"/>
    </w:p>
    <w:sectPr>
      <w:footerReference r:id="rId4" w:type="default"/>
      <w:pgSz w:w="16838" w:h="11906" w:orient="landscape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224DF40-B9B0-4D60-A62A-CA8E49A271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0CE35238-7215-4876-B814-522A751BF1A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71C437D9-7DE2-4757-A925-276BD7E0D904}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B79FC1A-66EA-413D-BE73-8BA3F5522E7D}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C314D952-2FF4-474C-B6BE-3D9EE57FD3D3}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6" w:fontKey="{3CFF36B3-D9FB-4466-AC86-5128FFFD87E8}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7" w:fontKey="{3592C0E2-6153-42DC-BC79-0B625AC22FB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Theme="minorEastAsia" w:hAnsiTheme="minorEastAsia" w:cstheme="minorEastAsia"/>
                              <w:sz w:val="24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Theme="minorEastAsia" w:hAnsiTheme="minorEastAsia" w:cstheme="minorEastAsia"/>
                        <w:sz w:val="24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Theme="minorEastAsia" w:hAnsiTheme="minorEastAsia" w:cstheme="minorEastAsia"/>
                              <w:sz w:val="24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Theme="minorEastAsia" w:hAnsiTheme="minorEastAsia" w:cstheme="minorEastAsia"/>
                        <w:sz w:val="24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1425A2"/>
    <w:multiLevelType w:val="singleLevel"/>
    <w:tmpl w:val="9A1425A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0MzYzODU4YjQ1OWJjZDZjYjhhMjVhZjdmZTQ5NzEifQ=="/>
  </w:docVars>
  <w:rsids>
    <w:rsidRoot w:val="00BC7824"/>
    <w:rsid w:val="000D234F"/>
    <w:rsid w:val="00134BB1"/>
    <w:rsid w:val="001421A3"/>
    <w:rsid w:val="001B1C11"/>
    <w:rsid w:val="002B45A6"/>
    <w:rsid w:val="002B726E"/>
    <w:rsid w:val="003226B5"/>
    <w:rsid w:val="00323CEB"/>
    <w:rsid w:val="00362D6D"/>
    <w:rsid w:val="003878F5"/>
    <w:rsid w:val="004620CC"/>
    <w:rsid w:val="0048504C"/>
    <w:rsid w:val="004A4847"/>
    <w:rsid w:val="004C6A43"/>
    <w:rsid w:val="00517284"/>
    <w:rsid w:val="00527171"/>
    <w:rsid w:val="0055702C"/>
    <w:rsid w:val="00644058"/>
    <w:rsid w:val="006446A6"/>
    <w:rsid w:val="008A67DD"/>
    <w:rsid w:val="008F2866"/>
    <w:rsid w:val="008F686E"/>
    <w:rsid w:val="00982EEA"/>
    <w:rsid w:val="00991165"/>
    <w:rsid w:val="00A41E6E"/>
    <w:rsid w:val="00A92041"/>
    <w:rsid w:val="00AB2F65"/>
    <w:rsid w:val="00AB483D"/>
    <w:rsid w:val="00AC45E6"/>
    <w:rsid w:val="00B3551A"/>
    <w:rsid w:val="00B42755"/>
    <w:rsid w:val="00B5566F"/>
    <w:rsid w:val="00BA0223"/>
    <w:rsid w:val="00BC5267"/>
    <w:rsid w:val="00BC7824"/>
    <w:rsid w:val="00BF20BC"/>
    <w:rsid w:val="00C17E99"/>
    <w:rsid w:val="00CA7BEB"/>
    <w:rsid w:val="00E23EC7"/>
    <w:rsid w:val="00E36325"/>
    <w:rsid w:val="00EC0258"/>
    <w:rsid w:val="00F818E4"/>
    <w:rsid w:val="00FB2DB2"/>
    <w:rsid w:val="00FC6B5B"/>
    <w:rsid w:val="02FF1AA8"/>
    <w:rsid w:val="04E5161D"/>
    <w:rsid w:val="0A2E3BCD"/>
    <w:rsid w:val="0C3732B8"/>
    <w:rsid w:val="10F55E13"/>
    <w:rsid w:val="15E43A2B"/>
    <w:rsid w:val="1963252C"/>
    <w:rsid w:val="1C242341"/>
    <w:rsid w:val="258B0D72"/>
    <w:rsid w:val="26AE487B"/>
    <w:rsid w:val="277E33B0"/>
    <w:rsid w:val="27B7308E"/>
    <w:rsid w:val="296BF5B5"/>
    <w:rsid w:val="2C386F00"/>
    <w:rsid w:val="2FC125AF"/>
    <w:rsid w:val="31B515F9"/>
    <w:rsid w:val="33891BF0"/>
    <w:rsid w:val="34F02865"/>
    <w:rsid w:val="358C1FBD"/>
    <w:rsid w:val="36EB17BD"/>
    <w:rsid w:val="37855DC6"/>
    <w:rsid w:val="3BF30F7C"/>
    <w:rsid w:val="3C23691A"/>
    <w:rsid w:val="3D96408F"/>
    <w:rsid w:val="3D9E13DA"/>
    <w:rsid w:val="3DFEB58B"/>
    <w:rsid w:val="3F6FDAEA"/>
    <w:rsid w:val="3FF67405"/>
    <w:rsid w:val="3FFD0350"/>
    <w:rsid w:val="3FFEE140"/>
    <w:rsid w:val="40B4060F"/>
    <w:rsid w:val="44055319"/>
    <w:rsid w:val="4529485B"/>
    <w:rsid w:val="4628704E"/>
    <w:rsid w:val="46DD3004"/>
    <w:rsid w:val="477661BC"/>
    <w:rsid w:val="49A67CA0"/>
    <w:rsid w:val="4A581885"/>
    <w:rsid w:val="4EB61B24"/>
    <w:rsid w:val="4FA93F84"/>
    <w:rsid w:val="50CC0653"/>
    <w:rsid w:val="52FFAED9"/>
    <w:rsid w:val="55B95867"/>
    <w:rsid w:val="562D6BD5"/>
    <w:rsid w:val="580A5242"/>
    <w:rsid w:val="5964647B"/>
    <w:rsid w:val="5F790575"/>
    <w:rsid w:val="5FF38A3F"/>
    <w:rsid w:val="60B32A17"/>
    <w:rsid w:val="62AA4A0A"/>
    <w:rsid w:val="65005E7E"/>
    <w:rsid w:val="657F6B7F"/>
    <w:rsid w:val="67CFD016"/>
    <w:rsid w:val="683261B3"/>
    <w:rsid w:val="6D257928"/>
    <w:rsid w:val="6E221FE1"/>
    <w:rsid w:val="6EFBD4E5"/>
    <w:rsid w:val="6FEFD102"/>
    <w:rsid w:val="713D2F54"/>
    <w:rsid w:val="713D3880"/>
    <w:rsid w:val="7756FA66"/>
    <w:rsid w:val="793523A7"/>
    <w:rsid w:val="797FEFFC"/>
    <w:rsid w:val="7AFC89EA"/>
    <w:rsid w:val="7B7F0212"/>
    <w:rsid w:val="7F2762FF"/>
    <w:rsid w:val="7FB69F33"/>
    <w:rsid w:val="7FFEB3EC"/>
    <w:rsid w:val="AACF1DA4"/>
    <w:rsid w:val="AD7FC72E"/>
    <w:rsid w:val="AF7D689D"/>
    <w:rsid w:val="AFB6ECBE"/>
    <w:rsid w:val="B5D15BCC"/>
    <w:rsid w:val="B7FF7D8C"/>
    <w:rsid w:val="BA6DCEE3"/>
    <w:rsid w:val="BADBB444"/>
    <w:rsid w:val="D17BFC58"/>
    <w:rsid w:val="D6DFE032"/>
    <w:rsid w:val="E3E7A739"/>
    <w:rsid w:val="EFDF20E1"/>
    <w:rsid w:val="F67C96D6"/>
    <w:rsid w:val="F77B2920"/>
    <w:rsid w:val="FAA927D0"/>
    <w:rsid w:val="FBEE3ADD"/>
    <w:rsid w:val="FDCFDC7E"/>
    <w:rsid w:val="FF591B4F"/>
    <w:rsid w:val="FF75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line="594" w:lineRule="exact"/>
      <w:ind w:firstLine="880" w:firstLineChars="200"/>
      <w:outlineLvl w:val="1"/>
    </w:pPr>
    <w:rPr>
      <w:rFonts w:ascii="Times New Roman" w:hAnsi="Times New Roman" w:eastAsia="黑体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line="594" w:lineRule="exact"/>
      <w:ind w:firstLine="880" w:firstLineChars="200"/>
      <w:outlineLvl w:val="2"/>
    </w:pPr>
    <w:rPr>
      <w:rFonts w:ascii="Times New Roman" w:hAnsi="Times New Roman" w:eastAsia="楷体_GB231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99"/>
    <w:pPr>
      <w:ind w:firstLine="420" w:firstLineChars="100"/>
    </w:pPr>
    <w:rPr>
      <w:rFonts w:cs="Calibri"/>
      <w:szCs w:val="21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4">
    <w:name w:val="Body Text First Indent"/>
    <w:basedOn w:val="3"/>
    <w:next w:val="3"/>
    <w:qFormat/>
    <w:uiPriority w:val="0"/>
    <w:pPr>
      <w:ind w:firstLine="720"/>
    </w:pPr>
  </w:style>
  <w:style w:type="paragraph" w:styleId="7">
    <w:name w:val="Normal Indent"/>
    <w:basedOn w:val="1"/>
    <w:qFormat/>
    <w:uiPriority w:val="0"/>
    <w:pPr>
      <w:spacing w:line="594" w:lineRule="exact"/>
      <w:ind w:firstLine="420" w:firstLineChars="200"/>
    </w:pPr>
    <w:rPr>
      <w:rFonts w:ascii="Times New Roman" w:hAnsi="Times New Roman" w:eastAsia="仿宋_GB2312"/>
      <w:sz w:val="32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 Indent"/>
    <w:basedOn w:val="1"/>
    <w:qFormat/>
    <w:uiPriority w:val="99"/>
    <w:pPr>
      <w:spacing w:after="120"/>
      <w:ind w:left="420" w:leftChars="200"/>
    </w:pPr>
  </w:style>
  <w:style w:type="paragraph" w:styleId="10">
    <w:name w:val="Balloon Text"/>
    <w:basedOn w:val="1"/>
    <w:link w:val="27"/>
    <w:qFormat/>
    <w:uiPriority w:val="0"/>
    <w:rPr>
      <w:sz w:val="18"/>
    </w:rPr>
  </w:style>
  <w:style w:type="paragraph" w:styleId="11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Body Text First Indent 2"/>
    <w:basedOn w:val="9"/>
    <w:link w:val="25"/>
    <w:qFormat/>
    <w:uiPriority w:val="0"/>
    <w:pPr>
      <w:adjustRightInd w:val="0"/>
      <w:spacing w:after="0" w:line="578" w:lineRule="exact"/>
      <w:ind w:firstLine="640" w:firstLineChars="200"/>
      <w:textAlignment w:val="center"/>
    </w:pPr>
    <w:rPr>
      <w:rFonts w:eastAsia="仿宋_GB2312"/>
      <w:kern w:val="0"/>
      <w:sz w:val="3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qFormat/>
    <w:uiPriority w:val="0"/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样式1"/>
    <w:basedOn w:val="1"/>
    <w:qFormat/>
    <w:uiPriority w:val="0"/>
    <w:rPr>
      <w:rFonts w:ascii="Times New Roman" w:hAnsi="Times New Roman" w:eastAsia="仿宋GB2312"/>
      <w:sz w:val="32"/>
    </w:rPr>
  </w:style>
  <w:style w:type="paragraph" w:customStyle="1" w:styleId="20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lang w:val="en-US" w:eastAsia="zh-CN" w:bidi="ar-SA"/>
    </w:rPr>
  </w:style>
  <w:style w:type="character" w:customStyle="1" w:styleId="21">
    <w:name w:val="font6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2">
    <w:name w:val="font0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3">
    <w:name w:val="font8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paragraph" w:customStyle="1" w:styleId="24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5">
    <w:name w:val="正文文本首行缩进 2 字符"/>
    <w:basedOn w:val="16"/>
    <w:link w:val="13"/>
    <w:qFormat/>
    <w:uiPriority w:val="0"/>
    <w:rPr>
      <w:rFonts w:eastAsia="仿宋_GB2312" w:asciiTheme="minorHAnsi" w:hAnsiTheme="minorHAnsi" w:cstheme="minorBidi"/>
      <w:sz w:val="32"/>
      <w:szCs w:val="24"/>
    </w:rPr>
  </w:style>
  <w:style w:type="character" w:customStyle="1" w:styleId="26">
    <w:name w:val="页脚 字符"/>
    <w:basedOn w:val="16"/>
    <w:link w:val="11"/>
    <w:qFormat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7">
    <w:name w:val="批注框文本 字符"/>
    <w:basedOn w:val="16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1023</Words>
  <Characters>5836</Characters>
  <Lines>48</Lines>
  <Paragraphs>13</Paragraphs>
  <TotalTime>8</TotalTime>
  <ScaleCrop>false</ScaleCrop>
  <LinksUpToDate>false</LinksUpToDate>
  <CharactersWithSpaces>6846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2023-09-11T23:02:00Z</dcterms:created>
  <dc:creator>qq</dc:creator>
  <cp:lastModifiedBy>崔紅豆</cp:lastModifiedBy>
  <cp:lastPrinted>2023-09-05T16:54:00Z</cp:lastPrinted>
  <dcterms:modified xsi:type="dcterms:W3CDTF">2023-10-20T07:49:14Z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D03CD860C7CFA9CFFD01DF64EE5B7C15_42</vt:lpwstr>
  </property>
</Properties>
</file>