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240"/>
        <w:jc w:val="center"/>
        <w:rPr>
          <w:rFonts w:ascii="黑体" w:hAnsi="黑体" w:eastAsia="黑体" w:cs="黑体"/>
          <w:bCs/>
          <w:kern w:val="0"/>
          <w:sz w:val="36"/>
          <w:szCs w:val="36"/>
          <w:lang w:val="en-GB" w:bidi="ar-AE"/>
        </w:rPr>
      </w:pPr>
      <w:r>
        <w:rPr>
          <w:rFonts w:hint="eastAsia" w:ascii="黑体" w:hAnsi="黑体" w:eastAsia="黑体" w:cs="黑体"/>
          <w:bCs/>
          <w:kern w:val="0"/>
          <w:sz w:val="36"/>
          <w:szCs w:val="36"/>
          <w:lang w:val="en-GB" w:bidi="ar-AE"/>
        </w:rPr>
        <w:t>经营者集中简易案件公示表</w:t>
      </w:r>
    </w:p>
    <w:tbl>
      <w:tblPr>
        <w:tblStyle w:val="6"/>
        <w:tblW w:w="9640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607"/>
        <w:gridCol w:w="60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26" w:hRule="atLeast"/>
        </w:trPr>
        <w:tc>
          <w:tcPr>
            <w:tcW w:w="1940" w:type="dxa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eastAsia="en-GB"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eastAsia="en-GB" w:bidi="ar-AE"/>
              </w:rPr>
              <w:t>案件名称</w:t>
            </w:r>
          </w:p>
        </w:tc>
        <w:tc>
          <w:tcPr>
            <w:tcW w:w="7700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宋体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宝武资源有限公司收购西芒杜赢联盟矿山控股公司股权案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65" w:hRule="atLeast"/>
        </w:trPr>
        <w:tc>
          <w:tcPr>
            <w:tcW w:w="1940" w:type="dxa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交易概况（限200字内）</w:t>
            </w:r>
          </w:p>
        </w:tc>
        <w:tc>
          <w:tcPr>
            <w:tcW w:w="7700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宋体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宝武资源有限公司（“宝武资源”）与西芒杜赢联盟控股公司（“西芒杜赢联盟”）等公司签署协议，宝武资源（或其关联实体，下称“宝武实体”）拟认购西芒杜赢联盟矿山控股公司（“西芒杜矿山”）4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-AE"/>
              </w:rPr>
              <w:t>9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%股权。西芒杜矿山主要从事几内亚西芒杜铁矿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-AE"/>
              </w:rPr>
              <w:t>1号和2号区块的开发和运营。本次交易前，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西芒杜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-AE"/>
              </w:rPr>
              <w:t>赢联盟持有西芒杜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矿山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-AE"/>
              </w:rPr>
              <w:t>100%股权，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单独控制西芒杜矿山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-AE"/>
              </w:rPr>
              <w:t>。本次交易后，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西芒杜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-AE"/>
              </w:rPr>
              <w:t>赢联盟和宝武实体分别持有西芒杜赢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矿山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-AE"/>
              </w:rPr>
              <w:t>51%和49%股权，共同控制西芒杜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矿山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-AE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31" w:hRule="atLeast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参与集中的经营者简介（每个限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100字以内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）</w:t>
            </w:r>
          </w:p>
        </w:tc>
        <w:tc>
          <w:tcPr>
            <w:tcW w:w="1607" w:type="dxa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宝武资源</w:t>
            </w:r>
          </w:p>
        </w:tc>
        <w:tc>
          <w:tcPr>
            <w:tcW w:w="6093" w:type="dxa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宋体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宝武资源于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-AE"/>
              </w:rPr>
              <w:t>2006年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7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-AE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2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-AE"/>
              </w:rPr>
              <w:t>1日成立于中国上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海市，通过四大业务板块开展业务，包括境内矿山板块、海外矿山板块、贸易与营销板块、物流板块。</w:t>
            </w:r>
          </w:p>
          <w:p>
            <w:pPr>
              <w:adjustRightInd w:val="0"/>
              <w:snapToGri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宝武资源的最终控制人为中国宝武钢铁集团有限公司，主要业务包括钢铁制造业、新材料产业、智慧服务业、资源环境业、产业园区业、产业金融业等六大业务板块。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96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2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.西芒杜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赢联盟</w:t>
            </w:r>
          </w:p>
        </w:tc>
        <w:tc>
          <w:tcPr>
            <w:tcW w:w="6093" w:type="dxa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西芒杜赢联盟于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-AE"/>
              </w:rPr>
              <w:t>2021年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9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-AE"/>
              </w:rPr>
              <w:t>月9日成立于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新加坡，目前未实际开展业务。</w:t>
            </w:r>
          </w:p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西芒杜赢联盟的最终控制人之一为外籍自然人，主要通过其控制的公司开展船东业务、航运运营、海上转运、船舶管理、矿业开发和铁路建设。另一最终控制人为中国宏桥控股有限公司，主要从事液态铝合金、铝合金锭和铝合金铸轧产品的生产和销售业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9" w:hRule="atLeast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FE"/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1、在同一相关市场，所有参与集中的经营者所占市场份额之和小于15%。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0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FE"/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2、存在上下游关系的参与集中的经营者，在上下游市场所占的市场份额均小于25%。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5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 3、不在同一相关市场、也不存在上下游关系的参与集中的经营者，在与交易有关的每个市场所占的份额均小于25%。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70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4、参与集中的经营者在中国境外设立合营企业，合营企业不在中国境内从事经济活动。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64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5、参与集中的经营者收购境外企业股权或资产的，该境外企业不在中国境内从事经济活动。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5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6、由两个以上的经营者共同控制的合营企业，通过集中被其中一个或一个以上经营者控制。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50" w:hRule="atLeast"/>
        </w:trPr>
        <w:tc>
          <w:tcPr>
            <w:tcW w:w="1940" w:type="dxa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  <w:lang w:val="en-GB" w:bidi="ar-A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GB" w:bidi="ar-AE"/>
              </w:rPr>
              <w:t>横向重叠：</w:t>
            </w:r>
          </w:p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2022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年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全球铁矿石市场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:</w:t>
            </w:r>
          </w:p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宝武资源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：0-5%，西芒杜赢联盟：0-5%，各方合计：0-5%</w:t>
            </w:r>
          </w:p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2</w:t>
            </w:r>
            <w:r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022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年中国境内铁矿石市场：</w:t>
            </w:r>
          </w:p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宝武资源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：0-5%，西芒杜赢联盟：0-5%，各方合计：0-5%</w:t>
            </w:r>
          </w:p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-AE"/>
              </w:rPr>
              <w:t>纵向关联：</w:t>
            </w:r>
          </w:p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上游：2</w:t>
            </w:r>
            <w:r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022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年全球铁矿石市场：</w:t>
            </w:r>
          </w:p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宝武资源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：如上所述，西芒杜赢联盟：如上所述</w:t>
            </w:r>
          </w:p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2</w:t>
            </w:r>
            <w:r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022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年中国境内铁矿石市场：</w:t>
            </w:r>
          </w:p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宝武资源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：如上所述，西芒杜赢联盟：如上所述</w:t>
            </w:r>
          </w:p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下游：</w:t>
            </w:r>
            <w:r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2022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年中国境内粗钢市场：</w:t>
            </w:r>
          </w:p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宝武资源：</w:t>
            </w:r>
            <w:r>
              <w:rPr>
                <w:rFonts w:hint="default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" w:bidi="ar-AE"/>
              </w:rPr>
              <w:t>1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0-</w:t>
            </w:r>
            <w:r>
              <w:rPr>
                <w:rFonts w:hint="default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" w:bidi="ar-AE"/>
              </w:rPr>
              <w:t>15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%</w:t>
            </w:r>
          </w:p>
        </w:tc>
      </w:tr>
    </w:tbl>
    <w:p>
      <w:pPr>
        <w:widowControl/>
        <w:adjustRightInd w:val="0"/>
        <w:snapToGrid w:val="0"/>
        <w:rPr>
          <w:rFonts w:ascii="Arial" w:hAnsi="Arial" w:eastAsia="楷体_GB2312" w:cs="Arial"/>
          <w:b/>
          <w:color w:val="000000"/>
          <w:kern w:val="0"/>
          <w:sz w:val="22"/>
          <w:lang w:val="en-GB" w:bidi="ar-AE"/>
        </w:rPr>
      </w:pPr>
    </w:p>
    <w:p>
      <w:pPr>
        <w:rPr>
          <w:lang w:val="en-GB"/>
        </w:rPr>
      </w:pPr>
    </w:p>
    <w:sectPr>
      <w:footerReference r:id="rId3" w:type="default"/>
      <w:pgSz w:w="11906" w:h="16838"/>
      <w:pgMar w:top="1440" w:right="1440" w:bottom="1276" w:left="1440" w:header="720" w:footer="34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圆B5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Quicksand Ligh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plified Arabic">
    <w:altName w:val="Times New Roman"/>
    <w:panose1 w:val="00000000000000000000"/>
    <w:charset w:val="B2"/>
    <w:family w:val="roman"/>
    <w:pitch w:val="default"/>
    <w:sig w:usb0="00000000" w:usb1="00000000" w:usb2="00000008" w:usb3="00000000" w:csb0="00000041" w:csb1="00000000"/>
  </w:font>
  <w:font w:name="Arial">
    <w:altName w:val="Times New Roman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Quicksand Light">
    <w:panose1 w:val="00000400000000000000"/>
    <w:charset w:val="00"/>
    <w:family w:val="auto"/>
    <w:pitch w:val="default"/>
    <w:sig w:usb0="2000000F" w:usb1="00000001" w:usb2="00000000" w:usb3="00000000" w:csb0="20000193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6"/>
      <w:tblW w:w="0" w:type="auto"/>
      <w:tblInd w:w="0" w:type="dxa"/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3080"/>
      <w:gridCol w:w="3081"/>
      <w:gridCol w:w="3081"/>
    </w:tblGrid>
    <w:tr>
      <w:tc>
        <w:tcPr>
          <w:tcW w:w="3080" w:type="dxa"/>
        </w:tcPr>
        <w:p>
          <w:pPr>
            <w:pStyle w:val="3"/>
          </w:pPr>
        </w:p>
      </w:tc>
      <w:tc>
        <w:tcPr>
          <w:tcW w:w="3081" w:type="dxa"/>
        </w:tcPr>
        <w:p>
          <w:pPr>
            <w:pStyle w:val="3"/>
            <w:jc w:val="center"/>
            <w:rPr>
              <w:rStyle w:val="8"/>
              <w:rFonts w:cs="Times New Roman"/>
            </w:rPr>
          </w:pPr>
          <w:r>
            <w:rPr>
              <w:rStyle w:val="8"/>
              <w:rFonts w:cs="Times New Roman"/>
            </w:rPr>
            <w:t xml:space="preserve">- </w:t>
          </w:r>
          <w:r>
            <w:rPr>
              <w:rStyle w:val="8"/>
              <w:rFonts w:cs="Times New Roman"/>
            </w:rPr>
            <w:fldChar w:fldCharType="begin"/>
          </w:r>
          <w:r>
            <w:rPr>
              <w:rStyle w:val="8"/>
              <w:rFonts w:cs="Times New Roman"/>
            </w:rPr>
            <w:instrText xml:space="preserve"> PAGE   \* MERGEFORMAT </w:instrText>
          </w:r>
          <w:r>
            <w:rPr>
              <w:rStyle w:val="8"/>
              <w:rFonts w:cs="Times New Roman"/>
            </w:rPr>
            <w:fldChar w:fldCharType="separate"/>
          </w:r>
          <w:r>
            <w:rPr>
              <w:rStyle w:val="8"/>
              <w:rFonts w:cs="Times New Roman"/>
              <w:lang w:val="en-US"/>
            </w:rPr>
            <w:t>2</w:t>
          </w:r>
          <w:r>
            <w:rPr>
              <w:rStyle w:val="8"/>
              <w:rFonts w:cs="Times New Roman"/>
            </w:rPr>
            <w:fldChar w:fldCharType="end"/>
          </w:r>
          <w:r>
            <w:rPr>
              <w:rStyle w:val="8"/>
              <w:rFonts w:cs="Times New Roman"/>
            </w:rPr>
            <w:t xml:space="preserve"> -</w:t>
          </w:r>
        </w:p>
      </w:tc>
      <w:tc>
        <w:tcPr>
          <w:tcW w:w="3081" w:type="dxa"/>
        </w:tcPr>
        <w:p>
          <w:pPr>
            <w:pStyle w:val="11"/>
          </w:pPr>
        </w:p>
      </w:tc>
    </w:tr>
  </w:tbl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311"/>
    <w:rsid w:val="00043DEF"/>
    <w:rsid w:val="00082104"/>
    <w:rsid w:val="000B204F"/>
    <w:rsid w:val="000C1961"/>
    <w:rsid w:val="000C7440"/>
    <w:rsid w:val="000F2497"/>
    <w:rsid w:val="000F6CCB"/>
    <w:rsid w:val="00106894"/>
    <w:rsid w:val="001135A9"/>
    <w:rsid w:val="001438A8"/>
    <w:rsid w:val="00170D27"/>
    <w:rsid w:val="00172429"/>
    <w:rsid w:val="001B3456"/>
    <w:rsid w:val="001D1044"/>
    <w:rsid w:val="002126B7"/>
    <w:rsid w:val="0022470B"/>
    <w:rsid w:val="00231BF4"/>
    <w:rsid w:val="00231F4D"/>
    <w:rsid w:val="00255135"/>
    <w:rsid w:val="00270FAF"/>
    <w:rsid w:val="00275F0D"/>
    <w:rsid w:val="002777AD"/>
    <w:rsid w:val="00282678"/>
    <w:rsid w:val="00296A64"/>
    <w:rsid w:val="002E6A1F"/>
    <w:rsid w:val="003239CB"/>
    <w:rsid w:val="003326A7"/>
    <w:rsid w:val="003636C6"/>
    <w:rsid w:val="00365ADC"/>
    <w:rsid w:val="00375383"/>
    <w:rsid w:val="00383FCA"/>
    <w:rsid w:val="003A17EF"/>
    <w:rsid w:val="003A406F"/>
    <w:rsid w:val="003A69E9"/>
    <w:rsid w:val="003F5DCE"/>
    <w:rsid w:val="004062E0"/>
    <w:rsid w:val="00410BD2"/>
    <w:rsid w:val="00413614"/>
    <w:rsid w:val="0042402D"/>
    <w:rsid w:val="00440689"/>
    <w:rsid w:val="00474136"/>
    <w:rsid w:val="00490744"/>
    <w:rsid w:val="004C5BE4"/>
    <w:rsid w:val="00543384"/>
    <w:rsid w:val="005439CD"/>
    <w:rsid w:val="00571169"/>
    <w:rsid w:val="00574226"/>
    <w:rsid w:val="00595A4A"/>
    <w:rsid w:val="005D5212"/>
    <w:rsid w:val="005E12C1"/>
    <w:rsid w:val="005E6160"/>
    <w:rsid w:val="005E78B4"/>
    <w:rsid w:val="005F3CF8"/>
    <w:rsid w:val="00600079"/>
    <w:rsid w:val="006231C9"/>
    <w:rsid w:val="006800E5"/>
    <w:rsid w:val="006A3791"/>
    <w:rsid w:val="006B3A60"/>
    <w:rsid w:val="006B433E"/>
    <w:rsid w:val="00700F3E"/>
    <w:rsid w:val="00730311"/>
    <w:rsid w:val="00731608"/>
    <w:rsid w:val="007474AF"/>
    <w:rsid w:val="00767C21"/>
    <w:rsid w:val="00783F31"/>
    <w:rsid w:val="0079218D"/>
    <w:rsid w:val="0079788B"/>
    <w:rsid w:val="007A1639"/>
    <w:rsid w:val="007A17AC"/>
    <w:rsid w:val="007C701D"/>
    <w:rsid w:val="007C761D"/>
    <w:rsid w:val="007E05C2"/>
    <w:rsid w:val="008458C3"/>
    <w:rsid w:val="00846BF9"/>
    <w:rsid w:val="0085292B"/>
    <w:rsid w:val="00860DD1"/>
    <w:rsid w:val="00876A40"/>
    <w:rsid w:val="00890F88"/>
    <w:rsid w:val="0089134F"/>
    <w:rsid w:val="008A132A"/>
    <w:rsid w:val="008A1DB2"/>
    <w:rsid w:val="008B179B"/>
    <w:rsid w:val="008E6678"/>
    <w:rsid w:val="008F12B9"/>
    <w:rsid w:val="008F5926"/>
    <w:rsid w:val="00903D10"/>
    <w:rsid w:val="00933F1C"/>
    <w:rsid w:val="00981E8C"/>
    <w:rsid w:val="009A087E"/>
    <w:rsid w:val="009B21F5"/>
    <w:rsid w:val="009C326B"/>
    <w:rsid w:val="009C49F3"/>
    <w:rsid w:val="009C7BED"/>
    <w:rsid w:val="009D3C23"/>
    <w:rsid w:val="009F37C7"/>
    <w:rsid w:val="00A1260D"/>
    <w:rsid w:val="00A21589"/>
    <w:rsid w:val="00A45856"/>
    <w:rsid w:val="00A60FD0"/>
    <w:rsid w:val="00AA5844"/>
    <w:rsid w:val="00AB07D2"/>
    <w:rsid w:val="00AF7602"/>
    <w:rsid w:val="00B21134"/>
    <w:rsid w:val="00B405C2"/>
    <w:rsid w:val="00B62EB6"/>
    <w:rsid w:val="00B71962"/>
    <w:rsid w:val="00BC563D"/>
    <w:rsid w:val="00BD1B62"/>
    <w:rsid w:val="00BD27CA"/>
    <w:rsid w:val="00BE428E"/>
    <w:rsid w:val="00BE709B"/>
    <w:rsid w:val="00BF0C1E"/>
    <w:rsid w:val="00C309A4"/>
    <w:rsid w:val="00C34E10"/>
    <w:rsid w:val="00C36EAD"/>
    <w:rsid w:val="00C44A31"/>
    <w:rsid w:val="00C44B9E"/>
    <w:rsid w:val="00C44DF2"/>
    <w:rsid w:val="00C47DF7"/>
    <w:rsid w:val="00C5353A"/>
    <w:rsid w:val="00C82958"/>
    <w:rsid w:val="00C900CF"/>
    <w:rsid w:val="00CB09CB"/>
    <w:rsid w:val="00CB24C4"/>
    <w:rsid w:val="00CB38C6"/>
    <w:rsid w:val="00CD7DE8"/>
    <w:rsid w:val="00CF4C33"/>
    <w:rsid w:val="00D2254E"/>
    <w:rsid w:val="00D33CB7"/>
    <w:rsid w:val="00D35A9E"/>
    <w:rsid w:val="00D41C03"/>
    <w:rsid w:val="00D4344B"/>
    <w:rsid w:val="00D52FA7"/>
    <w:rsid w:val="00D626ED"/>
    <w:rsid w:val="00D84231"/>
    <w:rsid w:val="00D84E65"/>
    <w:rsid w:val="00D85A19"/>
    <w:rsid w:val="00DB400F"/>
    <w:rsid w:val="00DB71DA"/>
    <w:rsid w:val="00DF05BF"/>
    <w:rsid w:val="00E0120B"/>
    <w:rsid w:val="00E07148"/>
    <w:rsid w:val="00E205B6"/>
    <w:rsid w:val="00E330C1"/>
    <w:rsid w:val="00EB1D85"/>
    <w:rsid w:val="00EC0C21"/>
    <w:rsid w:val="00EC5458"/>
    <w:rsid w:val="00F071CA"/>
    <w:rsid w:val="00F10EFF"/>
    <w:rsid w:val="00F14559"/>
    <w:rsid w:val="00F3272D"/>
    <w:rsid w:val="00F33888"/>
    <w:rsid w:val="00F5034B"/>
    <w:rsid w:val="00F86B53"/>
    <w:rsid w:val="00FF0BD8"/>
    <w:rsid w:val="00FF53C5"/>
    <w:rsid w:val="E3FF0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unhideWhenUsed/>
    <w:qFormat/>
    <w:uiPriority w:val="99"/>
    <w:rPr>
      <w:sz w:val="20"/>
      <w:szCs w:val="20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5"/>
    <w:semiHidden/>
    <w:unhideWhenUsed/>
    <w:qFormat/>
    <w:uiPriority w:val="99"/>
    <w:rPr>
      <w:b/>
      <w:bCs/>
    </w:rPr>
  </w:style>
  <w:style w:type="character" w:styleId="8">
    <w:name w:val="page number"/>
    <w:qFormat/>
    <w:uiPriority w:val="0"/>
    <w:rPr>
      <w:rFonts w:ascii="Times New Roman" w:hAnsi="Times New Roman" w:eastAsia="宋体" w:cs="Simplified Arabic"/>
      <w:sz w:val="24"/>
      <w:szCs w:val="24"/>
      <w:lang w:val="en-GB" w:bidi="ar-AE"/>
    </w:rPr>
  </w:style>
  <w:style w:type="character" w:styleId="9">
    <w:name w:val="annotation reference"/>
    <w:basedOn w:val="7"/>
    <w:semiHidden/>
    <w:unhideWhenUsed/>
    <w:qFormat/>
    <w:uiPriority w:val="99"/>
    <w:rPr>
      <w:sz w:val="16"/>
      <w:szCs w:val="16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paragraph" w:customStyle="1" w:styleId="11">
    <w:name w:val="Footer Right"/>
    <w:basedOn w:val="3"/>
    <w:qFormat/>
    <w:uiPriority w:val="0"/>
    <w:pPr>
      <w:widowControl/>
      <w:tabs>
        <w:tab w:val="clear" w:pos="4153"/>
        <w:tab w:val="clear" w:pos="8306"/>
      </w:tabs>
      <w:snapToGrid/>
      <w:jc w:val="right"/>
    </w:pPr>
    <w:rPr>
      <w:rFonts w:ascii="Times New Roman" w:hAnsi="Times New Roman" w:eastAsia="宋体" w:cs="Times New Roman"/>
      <w:kern w:val="0"/>
      <w:sz w:val="16"/>
      <w:szCs w:val="16"/>
      <w:lang w:val="en-GB" w:bidi="he-IL"/>
    </w:rPr>
  </w:style>
  <w:style w:type="paragraph" w:customStyle="1" w:styleId="12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3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4">
    <w:name w:val="批注文字 字符"/>
    <w:basedOn w:val="7"/>
    <w:link w:val="2"/>
    <w:qFormat/>
    <w:uiPriority w:val="99"/>
    <w:rPr>
      <w:sz w:val="20"/>
      <w:szCs w:val="20"/>
    </w:rPr>
  </w:style>
  <w:style w:type="character" w:customStyle="1" w:styleId="15">
    <w:name w:val="批注主题 字符"/>
    <w:basedOn w:val="14"/>
    <w:link w:val="5"/>
    <w:semiHidden/>
    <w:qFormat/>
    <w:uiPriority w:val="99"/>
    <w:rPr>
      <w:b/>
      <w:bCs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166</Words>
  <Characters>947</Characters>
  <Lines>7</Lines>
  <Paragraphs>2</Paragraphs>
  <TotalTime>32</TotalTime>
  <ScaleCrop>false</ScaleCrop>
  <LinksUpToDate>false</LinksUpToDate>
  <CharactersWithSpaces>1111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2023-10-27T19:25:00Z</dcterms:created>
  <dc:creator>scjgj</dc:creator>
  <cp:lastModifiedBy>scjgj</cp:lastModifiedBy>
  <dcterms:modified xsi:type="dcterms:W3CDTF">2023-11-09T14:51:50Z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