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仿宋_GB2312" w:cs="Times New Roman"/>
          <w:bCs w:val="0"/>
          <w:color w:val="000000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 xml:space="preserve"> </w:t>
      </w:r>
      <w:r>
        <w:rPr>
          <w:rFonts w:ascii="黑体" w:hAnsi="黑体" w:eastAsia="黑体" w:cs="黑体"/>
          <w:bCs/>
          <w:sz w:val="36"/>
          <w:szCs w:val="36"/>
        </w:rPr>
        <w:t>经营者集中简易案件公示表</w:t>
      </w:r>
    </w:p>
    <w:bookmarkEnd w:id="0"/>
    <w:tbl>
      <w:tblPr>
        <w:tblStyle w:val="4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607"/>
        <w:gridCol w:w="6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940" w:type="dxa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/>
              </w:rPr>
            </w:pPr>
            <w:r>
              <w:rPr>
                <w:rFonts w:hint="eastAsia" w:ascii="宋体" w:hAnsi="宋体" w:cs="宋体"/>
                <w:bCs/>
                <w:color w:val="000000"/>
              </w:rPr>
              <w:t>案件名称</w:t>
            </w: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/>
              </w:rPr>
            </w:pPr>
            <w:r>
              <w:rPr>
                <w:rFonts w:hint="eastAsia" w:ascii="宋体" w:hAnsi="宋体" w:cs="宋体"/>
                <w:szCs w:val="21"/>
              </w:rPr>
              <w:t>国投种业科技有限公司收购合肥丰乐种业股份有限公司股权案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1940" w:type="dxa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交易概况（限200字内）</w:t>
            </w: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after="0"/>
              <w:rPr>
                <w:rFonts w:hint="eastAsia"/>
                <w:bCs/>
                <w:color w:val="000000"/>
                <w:lang w:val="en-US"/>
              </w:rPr>
            </w:pPr>
            <w:r>
              <w:rPr>
                <w:rFonts w:hint="eastAsia" w:ascii="宋体" w:hAnsi="宋体" w:cs="宋体"/>
                <w:szCs w:val="21"/>
              </w:rPr>
              <w:t>国投种业科技有限公司</w:t>
            </w:r>
            <w:r>
              <w:rPr>
                <w:rFonts w:hint="eastAsia"/>
                <w:bCs/>
                <w:color w:val="000000"/>
                <w:lang w:val="en-US"/>
              </w:rPr>
              <w:t>（“国投种业”）与</w:t>
            </w:r>
            <w:r>
              <w:rPr>
                <w:rFonts w:hint="eastAsia"/>
                <w:szCs w:val="21"/>
              </w:rPr>
              <w:t>合肥市建设投资控股（集团）有限公司</w:t>
            </w:r>
            <w:r>
              <w:rPr>
                <w:rFonts w:hint="eastAsia"/>
                <w:bCs/>
                <w:color w:val="000000"/>
                <w:lang w:val="en-US"/>
              </w:rPr>
              <w:t>（“合肥建投”）</w:t>
            </w:r>
            <w:r>
              <w:rPr>
                <w:bCs/>
                <w:color w:val="000000"/>
                <w:lang w:val="en-US"/>
              </w:rPr>
              <w:t>签署</w:t>
            </w:r>
            <w:r>
              <w:rPr>
                <w:rFonts w:hint="eastAsia"/>
                <w:bCs/>
                <w:color w:val="000000"/>
                <w:lang w:val="en-US"/>
              </w:rPr>
              <w:t>协议</w:t>
            </w:r>
            <w:r>
              <w:rPr>
                <w:bCs/>
                <w:color w:val="000000"/>
                <w:lang w:val="en-US"/>
              </w:rPr>
              <w:t>，</w:t>
            </w:r>
            <w:r>
              <w:rPr>
                <w:rFonts w:hint="eastAsia"/>
                <w:bCs/>
                <w:color w:val="000000"/>
                <w:lang w:val="en-US"/>
              </w:rPr>
              <w:t>收购合肥建投持有的合肥丰乐种业股份有限公司（“丰乐种业”）2</w:t>
            </w:r>
            <w:r>
              <w:rPr>
                <w:bCs/>
                <w:color w:val="000000"/>
                <w:lang w:val="en-US"/>
              </w:rPr>
              <w:t>0</w:t>
            </w:r>
            <w:r>
              <w:rPr>
                <w:rFonts w:hint="eastAsia"/>
                <w:bCs/>
                <w:color w:val="000000"/>
                <w:lang w:val="en-US"/>
              </w:rPr>
              <w:t>%的股份</w:t>
            </w:r>
            <w:r>
              <w:rPr>
                <w:bCs/>
                <w:color w:val="000000"/>
                <w:lang w:val="en-US"/>
              </w:rPr>
              <w:t>。</w:t>
            </w:r>
            <w:r>
              <w:rPr>
                <w:rFonts w:hint="eastAsia"/>
                <w:bCs/>
                <w:color w:val="000000"/>
                <w:lang w:val="en-US"/>
              </w:rPr>
              <w:t>交易</w:t>
            </w:r>
            <w:r>
              <w:rPr>
                <w:bCs/>
                <w:color w:val="000000"/>
                <w:lang w:val="en-US"/>
              </w:rPr>
              <w:t>前，</w:t>
            </w:r>
            <w:r>
              <w:rPr>
                <w:rFonts w:hint="eastAsia"/>
                <w:bCs/>
                <w:color w:val="000000"/>
                <w:lang w:val="en-US"/>
              </w:rPr>
              <w:t>合肥建投</w:t>
            </w:r>
            <w:r>
              <w:rPr>
                <w:bCs/>
                <w:color w:val="000000"/>
                <w:lang w:val="en-US"/>
              </w:rPr>
              <w:t>持有</w:t>
            </w:r>
            <w:r>
              <w:rPr>
                <w:rFonts w:hint="eastAsia"/>
                <w:bCs/>
                <w:color w:val="000000"/>
                <w:lang w:val="en-US"/>
              </w:rPr>
              <w:t>丰乐种业</w:t>
            </w:r>
            <w:r>
              <w:rPr>
                <w:bCs/>
                <w:color w:val="000000"/>
                <w:lang w:val="en-US"/>
              </w:rPr>
              <w:t>29.24%</w:t>
            </w:r>
            <w:r>
              <w:rPr>
                <w:rFonts w:hint="eastAsia"/>
                <w:bCs/>
                <w:color w:val="000000"/>
                <w:lang w:val="en-US"/>
              </w:rPr>
              <w:t>的股份</w:t>
            </w:r>
            <w:r>
              <w:rPr>
                <w:bCs/>
                <w:color w:val="000000"/>
                <w:lang w:val="en-US"/>
              </w:rPr>
              <w:t>，单独控制</w:t>
            </w:r>
            <w:r>
              <w:rPr>
                <w:rFonts w:hint="eastAsia"/>
                <w:bCs/>
                <w:color w:val="000000"/>
                <w:lang w:val="en-US"/>
              </w:rPr>
              <w:t>丰乐种业</w:t>
            </w:r>
            <w:r>
              <w:rPr>
                <w:bCs/>
                <w:color w:val="000000"/>
                <w:lang w:val="en-US"/>
              </w:rPr>
              <w:t>。交易后，</w:t>
            </w:r>
            <w:r>
              <w:rPr>
                <w:rFonts w:hint="eastAsia"/>
                <w:bCs/>
                <w:color w:val="000000"/>
                <w:lang w:val="en-US"/>
              </w:rPr>
              <w:t>国投种业</w:t>
            </w:r>
            <w:r>
              <w:rPr>
                <w:bCs/>
                <w:color w:val="000000"/>
                <w:lang w:val="en-US"/>
              </w:rPr>
              <w:t>将持有</w:t>
            </w:r>
            <w:r>
              <w:rPr>
                <w:rFonts w:hint="eastAsia"/>
                <w:bCs/>
                <w:color w:val="000000"/>
                <w:lang w:val="en-US"/>
              </w:rPr>
              <w:t>丰乐种</w:t>
            </w:r>
            <w:r>
              <w:rPr>
                <w:bCs/>
                <w:color w:val="000000"/>
                <w:lang w:val="en-US"/>
              </w:rPr>
              <w:t>业20%</w:t>
            </w:r>
            <w:r>
              <w:rPr>
                <w:rFonts w:hint="eastAsia"/>
                <w:bCs/>
                <w:color w:val="000000"/>
                <w:lang w:val="en-US"/>
              </w:rPr>
              <w:t>股份</w:t>
            </w:r>
            <w:r>
              <w:rPr>
                <w:bCs/>
                <w:color w:val="000000"/>
                <w:lang w:val="en-US"/>
              </w:rPr>
              <w:t>，单独控制</w:t>
            </w:r>
            <w:r>
              <w:rPr>
                <w:rFonts w:hint="eastAsia"/>
                <w:bCs/>
                <w:color w:val="000000"/>
                <w:lang w:val="en-US"/>
              </w:rPr>
              <w:t>丰乐种</w:t>
            </w:r>
            <w:r>
              <w:rPr>
                <w:bCs/>
                <w:color w:val="000000"/>
                <w:lang w:val="en-US"/>
              </w:rPr>
              <w:t>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940" w:type="dxa"/>
            <w:vMerge w:val="restart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参与集中的经营者简介（每个限</w:t>
            </w:r>
            <w:r>
              <w:rPr>
                <w:rFonts w:hint="eastAsia" w:ascii="宋体" w:hAnsi="宋体" w:cs="宋体"/>
                <w:bCs/>
                <w:color w:val="000000"/>
                <w:lang w:val="en-US" w:eastAsia="zh-CN"/>
              </w:rPr>
              <w:t>100字以内</w:t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）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国投种业</w:t>
            </w:r>
          </w:p>
        </w:tc>
        <w:tc>
          <w:tcPr>
            <w:tcW w:w="6093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after="0"/>
              <w:rPr>
                <w:bCs/>
                <w:color w:val="000000"/>
                <w:lang w:val="en-US"/>
              </w:rPr>
            </w:pPr>
            <w:r>
              <w:rPr>
                <w:rFonts w:hint="eastAsia" w:ascii="宋体" w:hAnsi="宋体" w:cs="宋体"/>
                <w:bCs/>
                <w:color w:val="000000"/>
              </w:rPr>
              <w:t>国投种业</w:t>
            </w:r>
            <w:r>
              <w:rPr>
                <w:lang w:val="en-US"/>
              </w:rPr>
              <w:t>于2023年9月26日成立于</w:t>
            </w:r>
            <w:r>
              <w:rPr>
                <w:rFonts w:hint="eastAsia"/>
                <w:lang w:val="en-US"/>
              </w:rPr>
              <w:t>海南</w:t>
            </w:r>
            <w:r>
              <w:rPr>
                <w:lang w:val="en-US"/>
              </w:rPr>
              <w:t>省</w:t>
            </w:r>
            <w:r>
              <w:rPr>
                <w:rFonts w:hint="eastAsia"/>
                <w:lang w:val="en-US"/>
              </w:rPr>
              <w:t>三亚市，</w:t>
            </w:r>
            <w:r>
              <w:rPr>
                <w:rFonts w:hint="eastAsia"/>
              </w:rPr>
              <w:t>目前尚未开展任何实际业务</w:t>
            </w:r>
            <w:r>
              <w:t>。</w:t>
            </w:r>
          </w:p>
          <w:p>
            <w:pPr>
              <w:pStyle w:val="3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国投种业</w:t>
            </w:r>
            <w:r>
              <w:rPr>
                <w:rFonts w:cs="Times New Roman"/>
                <w:bCs/>
                <w:color w:val="000000"/>
                <w:lang w:eastAsia="zh-CN"/>
              </w:rPr>
              <w:t>的最终控制人为</w:t>
            </w:r>
            <w:r>
              <w:rPr>
                <w:rFonts w:hint="eastAsia" w:cs="Times New Roman"/>
                <w:lang w:eastAsia="zh-CN"/>
              </w:rPr>
              <w:t>国家开发投资集团有限公司，</w:t>
            </w:r>
            <w:r>
              <w:rPr>
                <w:rFonts w:cs="Times New Roman"/>
                <w:lang w:eastAsia="zh-CN"/>
              </w:rPr>
              <w:t>主要业务</w:t>
            </w:r>
            <w:r>
              <w:rPr>
                <w:lang w:eastAsia="zh-CN"/>
              </w:rPr>
              <w:t>为</w:t>
            </w:r>
            <w:r>
              <w:rPr>
                <w:rFonts w:hint="eastAsia"/>
                <w:lang w:eastAsia="zh-CN"/>
              </w:rPr>
              <w:t>能源产业、数字/科技、民生健康和产业金融。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1607" w:type="dxa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丰乐种业</w:t>
            </w:r>
          </w:p>
        </w:tc>
        <w:tc>
          <w:tcPr>
            <w:tcW w:w="6093" w:type="dxa"/>
            <w:noWrap w:val="0"/>
            <w:vAlign w:val="center"/>
          </w:tcPr>
          <w:p>
            <w:pPr>
              <w:adjustRightInd w:val="0"/>
              <w:snapToGrid w:val="0"/>
              <w:spacing w:after="0"/>
            </w:pPr>
            <w:r>
              <w:rPr>
                <w:rFonts w:hint="eastAsia" w:ascii="宋体" w:hAnsi="宋体" w:cs="宋体"/>
                <w:bCs/>
                <w:color w:val="000000"/>
              </w:rPr>
              <w:t>丰乐种业</w:t>
            </w:r>
            <w:r>
              <w:rPr>
                <w:bCs/>
                <w:color w:val="000000"/>
              </w:rPr>
              <w:t>于1997年4月</w:t>
            </w: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6日成立于</w:t>
            </w:r>
            <w:r>
              <w:rPr>
                <w:rFonts w:hint="eastAsia"/>
                <w:bCs/>
                <w:color w:val="000000"/>
              </w:rPr>
              <w:t>安徽省合肥市</w:t>
            </w:r>
            <w:r>
              <w:rPr>
                <w:bCs/>
                <w:color w:val="000000"/>
              </w:rPr>
              <w:t>，</w:t>
            </w:r>
            <w:r>
              <w:rPr>
                <w:rFonts w:hint="eastAsia"/>
                <w:bCs/>
                <w:color w:val="000000"/>
              </w:rPr>
              <w:t>为深圳证券交易所上市公司，</w:t>
            </w:r>
            <w:r>
              <w:rPr>
                <w:bCs/>
                <w:color w:val="000000"/>
              </w:rPr>
              <w:t>主要</w:t>
            </w:r>
            <w:r>
              <w:rPr>
                <w:rFonts w:hint="eastAsia"/>
                <w:bCs/>
                <w:color w:val="000000"/>
              </w:rPr>
              <w:t>从事</w:t>
            </w:r>
            <w:r>
              <w:rPr>
                <w:rFonts w:hint="eastAsia"/>
              </w:rPr>
              <w:t>种子、农化和香料业务</w:t>
            </w:r>
            <w:r>
              <w:t>。</w:t>
            </w:r>
          </w:p>
          <w:p>
            <w:pPr>
              <w:adjustRightInd w:val="0"/>
              <w:snapToGrid w:val="0"/>
              <w:spacing w:after="0"/>
              <w:rPr>
                <w:bCs/>
                <w:color w:val="000000"/>
              </w:rPr>
            </w:pPr>
            <w:r>
              <w:rPr>
                <w:rFonts w:hint="eastAsia" w:ascii="宋体" w:hAnsi="宋体" w:cs="宋体"/>
                <w:bCs/>
                <w:color w:val="000000"/>
              </w:rPr>
              <w:t>丰乐种业</w:t>
            </w:r>
            <w:r>
              <w:t>的最终控制人为</w:t>
            </w:r>
            <w:r>
              <w:rPr>
                <w:rFonts w:hint="eastAsia"/>
                <w:bCs/>
                <w:color w:val="000000"/>
                <w:lang w:val="en-US"/>
              </w:rPr>
              <w:t>合肥建投</w:t>
            </w:r>
            <w:r>
              <w:t>，主要业务</w:t>
            </w:r>
            <w:r>
              <w:rPr>
                <w:rFonts w:hint="eastAsia"/>
              </w:rPr>
              <w:t>为城市基础设施、基础产业、能源、交通及市政公用事业项目的投资、融资、建设、运营和管理。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940" w:type="dxa"/>
            <w:vMerge w:val="restart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sym w:font="Wingdings" w:char="F0A8"/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 xml:space="preserve"> 1、在同一相关市场，所有参与集中的经营者所占市场份额之和小于15%。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sym w:font="Wingdings" w:char="F0A8"/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 xml:space="preserve"> 2、存在上下游关系的参与集中的经营者，在上下游市场所占的市场份额均小于25%。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sym w:font="Wingdings" w:char="F0FE"/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 xml:space="preserve"> 3、不在同一相关市场、也不存在上下游关系的参与集中的经营者，在与交易有关的每个市场所占的份额均小于25%。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 xml:space="preserve"> 4、参与集中的经营者在中国境外设立合营企业，合营企业不在中国境内从事经济活动。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 xml:space="preserve"> 5、参与集中的经营者收购境外企业股权或资产的，该境外企业不在中国境内从事经济活动。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hint="eastAsia" w:ascii="宋体" w:hAnsi="宋体" w:cs="宋体"/>
                <w:bCs/>
                <w:color w:val="000000"/>
                <w:lang w:eastAsia="zh-CN"/>
              </w:rPr>
              <w:t xml:space="preserve"> 6、由两个以上的经营者共同控制的合营企业，通过集中被其中一个或一个以上经营者控制。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1940" w:type="dxa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lang w:val="en-US" w:eastAsia="zh-CN"/>
              </w:rPr>
              <w:t>备注</w:t>
            </w: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ascii="宋体" w:hAnsi="宋体" w:cs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lang w:eastAsia="zh-CN"/>
              </w:rPr>
              <w:t>混合集中：</w:t>
            </w:r>
          </w:p>
          <w:tbl>
            <w:tblPr>
              <w:tblStyle w:val="4"/>
              <w:tblW w:w="7353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49"/>
              <w:gridCol w:w="2312"/>
              <w:gridCol w:w="279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5" w:hRule="atLeast"/>
              </w:trPr>
              <w:tc>
                <w:tcPr>
                  <w:tcW w:w="2249" w:type="dxa"/>
                  <w:shd w:val="clear" w:color="auto" w:fill="F2F2F2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宋体" w:hAnsi="宋体"/>
                      <w:b/>
                      <w:color w:val="000000"/>
                    </w:rPr>
                  </w:pPr>
                  <w:r>
                    <w:rPr>
                      <w:rFonts w:hint="eastAsia" w:ascii="宋体" w:hAnsi="宋体"/>
                      <w:b/>
                      <w:color w:val="000000"/>
                    </w:rPr>
                    <w:t>相关商品市场</w:t>
                  </w:r>
                </w:p>
              </w:tc>
              <w:tc>
                <w:tcPr>
                  <w:tcW w:w="2312" w:type="dxa"/>
                  <w:shd w:val="clear" w:color="auto" w:fill="F2F2F2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宋体" w:hAnsi="宋体"/>
                      <w:b/>
                      <w:color w:val="000000"/>
                    </w:rPr>
                  </w:pPr>
                  <w:r>
                    <w:rPr>
                      <w:rFonts w:hint="eastAsia" w:ascii="宋体" w:hAnsi="宋体"/>
                      <w:b/>
                      <w:color w:val="000000"/>
                    </w:rPr>
                    <w:t>相关地域市场</w:t>
                  </w:r>
                </w:p>
              </w:tc>
              <w:tc>
                <w:tcPr>
                  <w:tcW w:w="2792" w:type="dxa"/>
                  <w:shd w:val="clear" w:color="auto" w:fill="F2F2F2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340" w:lineRule="exact"/>
                    <w:jc w:val="center"/>
                    <w:rPr>
                      <w:rFonts w:ascii="宋体" w:hAnsi="宋体"/>
                      <w:b/>
                      <w:color w:val="000000"/>
                    </w:rPr>
                  </w:pPr>
                  <w:r>
                    <w:rPr>
                      <w:rFonts w:ascii="宋体" w:hAnsi="宋体"/>
                      <w:b/>
                      <w:color w:val="000000"/>
                    </w:rPr>
                    <w:t>2022</w:t>
                  </w:r>
                  <w:r>
                    <w:rPr>
                      <w:rFonts w:hint="eastAsia" w:ascii="宋体" w:hAnsi="宋体"/>
                      <w:b/>
                      <w:color w:val="000000"/>
                    </w:rPr>
                    <w:t>年市场份额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5" w:hRule="atLeast"/>
              </w:trPr>
              <w:tc>
                <w:tcPr>
                  <w:tcW w:w="2249" w:type="dxa"/>
                  <w:noWrap w:val="0"/>
                  <w:vAlign w:val="top"/>
                </w:tcPr>
                <w:p>
                  <w:pPr>
                    <w:rPr>
                      <w:rFonts w:hint="eastAsia" w:ascii="宋体" w:hAnsi="宋体"/>
                      <w:bCs/>
                      <w:color w:val="000000"/>
                    </w:rPr>
                  </w:pPr>
                  <w:r>
                    <w:rPr>
                      <w:rFonts w:hint="eastAsia" w:ascii="宋体" w:hAnsi="宋体"/>
                      <w:bCs/>
                      <w:color w:val="000000"/>
                    </w:rPr>
                    <w:t>精喹禾灵原药市场</w:t>
                  </w:r>
                </w:p>
              </w:tc>
              <w:tc>
                <w:tcPr>
                  <w:tcW w:w="2312" w:type="dxa"/>
                  <w:noWrap w:val="0"/>
                  <w:vAlign w:val="top"/>
                </w:tcPr>
                <w:p>
                  <w:pPr>
                    <w:adjustRightInd w:val="0"/>
                    <w:snapToGrid w:val="0"/>
                    <w:spacing w:line="340" w:lineRule="exact"/>
                    <w:jc w:val="left"/>
                    <w:rPr>
                      <w:rFonts w:hint="eastAsia" w:ascii="宋体" w:hAnsi="宋体"/>
                      <w:bCs/>
                      <w:color w:val="000000"/>
                    </w:rPr>
                  </w:pPr>
                  <w:r>
                    <w:rPr>
                      <w:rFonts w:hint="eastAsia" w:ascii="宋体" w:hAnsi="宋体"/>
                      <w:bCs/>
                      <w:color w:val="000000"/>
                    </w:rPr>
                    <w:t>中国境内市场</w:t>
                  </w:r>
                </w:p>
              </w:tc>
              <w:tc>
                <w:tcPr>
                  <w:tcW w:w="2792" w:type="dxa"/>
                  <w:noWrap w:val="0"/>
                  <w:vAlign w:val="top"/>
                </w:tcPr>
                <w:p>
                  <w:pPr>
                    <w:adjustRightInd w:val="0"/>
                    <w:snapToGrid w:val="0"/>
                    <w:spacing w:line="340" w:lineRule="exact"/>
                    <w:jc w:val="left"/>
                    <w:rPr>
                      <w:rFonts w:hint="eastAsia" w:ascii="宋体" w:hAnsi="宋体"/>
                      <w:bCs/>
                      <w:color w:val="000000"/>
                    </w:rPr>
                  </w:pPr>
                  <w:r>
                    <w:rPr>
                      <w:rFonts w:hint="eastAsia" w:ascii="宋体" w:hAnsi="宋体"/>
                      <w:bCs/>
                      <w:color w:val="000000"/>
                    </w:rPr>
                    <w:t>丰乐种业：15-</w:t>
                  </w:r>
                  <w:r>
                    <w:rPr>
                      <w:rFonts w:ascii="宋体" w:hAnsi="宋体"/>
                      <w:bCs/>
                      <w:color w:val="000000"/>
                    </w:rPr>
                    <w:t>20</w:t>
                  </w:r>
                  <w:r>
                    <w:rPr>
                      <w:rFonts w:hint="eastAsia" w:ascii="宋体" w:hAnsi="宋体"/>
                      <w:bCs/>
                      <w:color w:val="000000"/>
                    </w:rPr>
                    <w:t>%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4" w:hRule="atLeast"/>
              </w:trPr>
              <w:tc>
                <w:tcPr>
                  <w:tcW w:w="2249" w:type="dxa"/>
                  <w:noWrap w:val="0"/>
                  <w:vAlign w:val="top"/>
                </w:tcPr>
                <w:p>
                  <w:pPr>
                    <w:rPr>
                      <w:rFonts w:hint="eastAsia" w:ascii="宋体" w:hAnsi="宋体"/>
                      <w:bCs/>
                      <w:color w:val="000000"/>
                    </w:rPr>
                  </w:pPr>
                  <w:r>
                    <w:rPr>
                      <w:rFonts w:hint="eastAsia" w:ascii="宋体" w:hAnsi="宋体"/>
                      <w:bCs/>
                      <w:color w:val="000000"/>
                    </w:rPr>
                    <w:t>天然香料市场</w:t>
                  </w:r>
                </w:p>
              </w:tc>
              <w:tc>
                <w:tcPr>
                  <w:tcW w:w="2312" w:type="dxa"/>
                  <w:noWrap w:val="0"/>
                  <w:vAlign w:val="top"/>
                </w:tcPr>
                <w:p>
                  <w:pPr>
                    <w:adjustRightInd w:val="0"/>
                    <w:snapToGrid w:val="0"/>
                    <w:spacing w:line="340" w:lineRule="exact"/>
                    <w:jc w:val="left"/>
                    <w:rPr>
                      <w:rFonts w:hint="eastAsia" w:ascii="宋体" w:hAnsi="宋体"/>
                      <w:bCs/>
                      <w:color w:val="000000"/>
                    </w:rPr>
                  </w:pPr>
                  <w:r>
                    <w:rPr>
                      <w:rFonts w:hint="eastAsia" w:ascii="宋体" w:hAnsi="宋体"/>
                      <w:bCs/>
                      <w:color w:val="000000"/>
                    </w:rPr>
                    <w:t>全球市场</w:t>
                  </w:r>
                </w:p>
              </w:tc>
              <w:tc>
                <w:tcPr>
                  <w:tcW w:w="2792" w:type="dxa"/>
                  <w:noWrap w:val="0"/>
                  <w:vAlign w:val="top"/>
                </w:tcPr>
                <w:p>
                  <w:pPr>
                    <w:adjustRightInd w:val="0"/>
                    <w:snapToGrid w:val="0"/>
                    <w:spacing w:line="340" w:lineRule="exact"/>
                    <w:jc w:val="left"/>
                    <w:rPr>
                      <w:rFonts w:hint="eastAsia" w:ascii="宋体" w:hAnsi="宋体"/>
                      <w:bCs/>
                      <w:color w:val="000000"/>
                    </w:rPr>
                  </w:pPr>
                  <w:r>
                    <w:rPr>
                      <w:rFonts w:hint="eastAsia" w:ascii="宋体" w:hAnsi="宋体"/>
                      <w:bCs/>
                      <w:color w:val="000000"/>
                    </w:rPr>
                    <w:t>丰乐种业：5-</w:t>
                  </w:r>
                  <w:r>
                    <w:rPr>
                      <w:rFonts w:ascii="宋体" w:hAnsi="宋体"/>
                      <w:bCs/>
                      <w:color w:val="000000"/>
                    </w:rPr>
                    <w:t>10</w:t>
                  </w:r>
                  <w:r>
                    <w:rPr>
                      <w:rFonts w:hint="eastAsia" w:ascii="宋体" w:hAnsi="宋体"/>
                      <w:bCs/>
                      <w:color w:val="000000"/>
                    </w:rPr>
                    <w:t>%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5" w:hRule="atLeast"/>
              </w:trPr>
              <w:tc>
                <w:tcPr>
                  <w:tcW w:w="2249" w:type="dxa"/>
                  <w:noWrap w:val="0"/>
                  <w:vAlign w:val="top"/>
                </w:tcPr>
                <w:p>
                  <w:pPr>
                    <w:rPr>
                      <w:rFonts w:hint="eastAsia" w:ascii="宋体" w:hAnsi="宋体"/>
                      <w:bCs/>
                      <w:color w:val="000000"/>
                    </w:rPr>
                  </w:pPr>
                  <w:r>
                    <w:rPr>
                      <w:rFonts w:hint="eastAsia" w:ascii="宋体" w:hAnsi="宋体"/>
                      <w:bCs/>
                      <w:color w:val="000000"/>
                    </w:rPr>
                    <w:t>烟嘧磺隆原药市场</w:t>
                  </w:r>
                </w:p>
              </w:tc>
              <w:tc>
                <w:tcPr>
                  <w:tcW w:w="2312" w:type="dxa"/>
                  <w:noWrap w:val="0"/>
                  <w:vAlign w:val="top"/>
                </w:tcPr>
                <w:p>
                  <w:pPr>
                    <w:adjustRightInd w:val="0"/>
                    <w:snapToGrid w:val="0"/>
                    <w:spacing w:line="340" w:lineRule="exact"/>
                    <w:jc w:val="left"/>
                    <w:rPr>
                      <w:rFonts w:hint="eastAsia" w:ascii="宋体" w:hAnsi="宋体"/>
                      <w:bCs/>
                      <w:color w:val="000000"/>
                    </w:rPr>
                  </w:pPr>
                  <w:r>
                    <w:rPr>
                      <w:rFonts w:hint="eastAsia" w:ascii="宋体" w:hAnsi="宋体"/>
                      <w:bCs/>
                      <w:color w:val="000000"/>
                    </w:rPr>
                    <w:t>中国境内市场</w:t>
                  </w:r>
                </w:p>
              </w:tc>
              <w:tc>
                <w:tcPr>
                  <w:tcW w:w="2792" w:type="dxa"/>
                  <w:noWrap w:val="0"/>
                  <w:vAlign w:val="top"/>
                </w:tcPr>
                <w:p>
                  <w:pPr>
                    <w:adjustRightInd w:val="0"/>
                    <w:snapToGrid w:val="0"/>
                    <w:spacing w:line="340" w:lineRule="exact"/>
                    <w:jc w:val="left"/>
                    <w:rPr>
                      <w:rFonts w:hint="eastAsia" w:ascii="宋体" w:hAnsi="宋体"/>
                      <w:bCs/>
                      <w:color w:val="000000"/>
                    </w:rPr>
                  </w:pPr>
                  <w:r>
                    <w:rPr>
                      <w:rFonts w:hint="eastAsia" w:ascii="宋体" w:hAnsi="宋体"/>
                      <w:bCs/>
                      <w:color w:val="000000"/>
                    </w:rPr>
                    <w:t>丰乐种业：5-</w:t>
                  </w:r>
                  <w:r>
                    <w:rPr>
                      <w:rFonts w:ascii="宋体" w:hAnsi="宋体"/>
                      <w:bCs/>
                      <w:color w:val="000000"/>
                    </w:rPr>
                    <w:t>10</w:t>
                  </w:r>
                  <w:r>
                    <w:rPr>
                      <w:rFonts w:hint="eastAsia" w:ascii="宋体" w:hAnsi="宋体"/>
                      <w:bCs/>
                      <w:color w:val="000000"/>
                    </w:rPr>
                    <w:t>%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2" w:hRule="atLeast"/>
              </w:trPr>
              <w:tc>
                <w:tcPr>
                  <w:tcW w:w="2249" w:type="dxa"/>
                  <w:noWrap w:val="0"/>
                  <w:vAlign w:val="top"/>
                </w:tcPr>
                <w:p>
                  <w:pPr>
                    <w:rPr>
                      <w:rFonts w:hint="eastAsia" w:ascii="宋体" w:hAnsi="宋体"/>
                      <w:bCs/>
                      <w:color w:val="000000"/>
                    </w:rPr>
                  </w:pPr>
                  <w:r>
                    <w:rPr>
                      <w:rFonts w:hint="eastAsia" w:ascii="宋体" w:hAnsi="宋体"/>
                      <w:bCs/>
                      <w:color w:val="000000"/>
                    </w:rPr>
                    <w:t>选择性除草剂市场</w:t>
                  </w:r>
                </w:p>
              </w:tc>
              <w:tc>
                <w:tcPr>
                  <w:tcW w:w="2312" w:type="dxa"/>
                  <w:noWrap w:val="0"/>
                  <w:vAlign w:val="top"/>
                </w:tcPr>
                <w:p>
                  <w:pPr>
                    <w:adjustRightInd w:val="0"/>
                    <w:snapToGrid w:val="0"/>
                    <w:spacing w:line="340" w:lineRule="exact"/>
                    <w:jc w:val="left"/>
                    <w:rPr>
                      <w:rFonts w:hint="eastAsia" w:ascii="宋体" w:hAnsi="宋体"/>
                      <w:bCs/>
                      <w:color w:val="000000"/>
                    </w:rPr>
                  </w:pPr>
                  <w:r>
                    <w:rPr>
                      <w:rFonts w:hint="eastAsia" w:ascii="宋体" w:hAnsi="宋体"/>
                      <w:bCs/>
                      <w:color w:val="000000"/>
                    </w:rPr>
                    <w:t>中国境内市场</w:t>
                  </w:r>
                </w:p>
              </w:tc>
              <w:tc>
                <w:tcPr>
                  <w:tcW w:w="2792" w:type="dxa"/>
                  <w:noWrap w:val="0"/>
                  <w:vAlign w:val="top"/>
                </w:tcPr>
                <w:p>
                  <w:pPr>
                    <w:adjustRightInd w:val="0"/>
                    <w:snapToGrid w:val="0"/>
                    <w:spacing w:line="340" w:lineRule="exact"/>
                    <w:jc w:val="left"/>
                    <w:rPr>
                      <w:rFonts w:hint="eastAsia" w:ascii="宋体" w:hAnsi="宋体"/>
                      <w:bCs/>
                      <w:color w:val="000000"/>
                    </w:rPr>
                  </w:pPr>
                  <w:r>
                    <w:rPr>
                      <w:rFonts w:hint="eastAsia" w:ascii="宋体" w:hAnsi="宋体"/>
                      <w:bCs/>
                      <w:color w:val="000000"/>
                    </w:rPr>
                    <w:t>丰乐种业：</w:t>
                  </w:r>
                  <w:r>
                    <w:rPr>
                      <w:rFonts w:ascii="宋体" w:hAnsi="宋体"/>
                      <w:bCs/>
                      <w:color w:val="000000"/>
                    </w:rPr>
                    <w:t>0</w:t>
                  </w:r>
                  <w:r>
                    <w:rPr>
                      <w:rFonts w:hint="eastAsia" w:ascii="宋体" w:hAnsi="宋体"/>
                      <w:bCs/>
                      <w:color w:val="000000"/>
                    </w:rPr>
                    <w:t>-</w:t>
                  </w:r>
                  <w:r>
                    <w:rPr>
                      <w:rFonts w:ascii="宋体" w:hAnsi="宋体"/>
                      <w:bCs/>
                      <w:color w:val="000000"/>
                    </w:rPr>
                    <w:t>5</w:t>
                  </w:r>
                  <w:r>
                    <w:rPr>
                      <w:rFonts w:hint="eastAsia" w:ascii="宋体" w:hAnsi="宋体"/>
                      <w:bCs/>
                      <w:color w:val="000000"/>
                    </w:rPr>
                    <w:t>%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5" w:hRule="atLeast"/>
              </w:trPr>
              <w:tc>
                <w:tcPr>
                  <w:tcW w:w="2249" w:type="dxa"/>
                  <w:noWrap w:val="0"/>
                  <w:vAlign w:val="top"/>
                </w:tcPr>
                <w:p>
                  <w:pPr>
                    <w:rPr>
                      <w:rFonts w:hint="eastAsia" w:ascii="宋体" w:hAnsi="宋体"/>
                      <w:bCs/>
                      <w:color w:val="000000"/>
                    </w:rPr>
                  </w:pPr>
                  <w:r>
                    <w:rPr>
                      <w:rFonts w:hint="eastAsia" w:ascii="宋体" w:hAnsi="宋体"/>
                      <w:bCs/>
                      <w:color w:val="000000"/>
                    </w:rPr>
                    <w:t>杂交玉米种子市场</w:t>
                  </w:r>
                </w:p>
              </w:tc>
              <w:tc>
                <w:tcPr>
                  <w:tcW w:w="2312" w:type="dxa"/>
                  <w:noWrap w:val="0"/>
                  <w:vAlign w:val="top"/>
                </w:tcPr>
                <w:p>
                  <w:pPr>
                    <w:adjustRightInd w:val="0"/>
                    <w:snapToGrid w:val="0"/>
                    <w:spacing w:line="340" w:lineRule="exact"/>
                    <w:jc w:val="left"/>
                    <w:rPr>
                      <w:rFonts w:hint="eastAsia" w:ascii="宋体" w:hAnsi="宋体"/>
                      <w:bCs/>
                      <w:color w:val="000000"/>
                    </w:rPr>
                  </w:pPr>
                  <w:r>
                    <w:rPr>
                      <w:rFonts w:hint="eastAsia" w:ascii="宋体" w:hAnsi="宋体"/>
                      <w:bCs/>
                      <w:color w:val="000000"/>
                    </w:rPr>
                    <w:t>中国境内市场</w:t>
                  </w:r>
                </w:p>
              </w:tc>
              <w:tc>
                <w:tcPr>
                  <w:tcW w:w="2792" w:type="dxa"/>
                  <w:noWrap w:val="0"/>
                  <w:vAlign w:val="top"/>
                </w:tcPr>
                <w:p>
                  <w:pPr>
                    <w:adjustRightInd w:val="0"/>
                    <w:snapToGrid w:val="0"/>
                    <w:spacing w:line="340" w:lineRule="exact"/>
                    <w:jc w:val="left"/>
                    <w:rPr>
                      <w:rFonts w:hint="eastAsia" w:ascii="宋体" w:hAnsi="宋体"/>
                      <w:bCs/>
                      <w:color w:val="000000"/>
                    </w:rPr>
                  </w:pPr>
                  <w:r>
                    <w:rPr>
                      <w:rFonts w:hint="eastAsia" w:ascii="宋体" w:hAnsi="宋体"/>
                      <w:bCs/>
                      <w:color w:val="000000"/>
                    </w:rPr>
                    <w:t>丰乐种业：</w:t>
                  </w:r>
                  <w:r>
                    <w:rPr>
                      <w:rFonts w:ascii="宋体" w:hAnsi="宋体"/>
                      <w:bCs/>
                      <w:color w:val="000000"/>
                    </w:rPr>
                    <w:t>0</w:t>
                  </w:r>
                  <w:r>
                    <w:rPr>
                      <w:rFonts w:hint="eastAsia" w:ascii="宋体" w:hAnsi="宋体"/>
                      <w:bCs/>
                      <w:color w:val="000000"/>
                    </w:rPr>
                    <w:t>-</w:t>
                  </w:r>
                  <w:r>
                    <w:rPr>
                      <w:rFonts w:ascii="宋体" w:hAnsi="宋体"/>
                      <w:bCs/>
                      <w:color w:val="000000"/>
                    </w:rPr>
                    <w:t>5</w:t>
                  </w:r>
                  <w:r>
                    <w:rPr>
                      <w:rFonts w:hint="eastAsia" w:ascii="宋体" w:hAnsi="宋体"/>
                      <w:bCs/>
                      <w:color w:val="000000"/>
                    </w:rPr>
                    <w:t>%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2" w:hRule="atLeast"/>
              </w:trPr>
              <w:tc>
                <w:tcPr>
                  <w:tcW w:w="2249" w:type="dxa"/>
                  <w:noWrap w:val="0"/>
                  <w:vAlign w:val="top"/>
                </w:tcPr>
                <w:p>
                  <w:pPr>
                    <w:rPr>
                      <w:rFonts w:hint="eastAsia" w:ascii="宋体" w:hAnsi="宋体"/>
                      <w:bCs/>
                      <w:color w:val="000000"/>
                    </w:rPr>
                  </w:pPr>
                  <w:r>
                    <w:rPr>
                      <w:rFonts w:hint="eastAsia" w:ascii="宋体" w:hAnsi="宋体"/>
                      <w:bCs/>
                      <w:color w:val="000000"/>
                    </w:rPr>
                    <w:t>复合肥市场</w:t>
                  </w:r>
                </w:p>
              </w:tc>
              <w:tc>
                <w:tcPr>
                  <w:tcW w:w="2312" w:type="dxa"/>
                  <w:noWrap w:val="0"/>
                  <w:vAlign w:val="top"/>
                </w:tcPr>
                <w:p>
                  <w:pPr>
                    <w:adjustRightInd w:val="0"/>
                    <w:snapToGrid w:val="0"/>
                    <w:spacing w:line="340" w:lineRule="exact"/>
                    <w:jc w:val="left"/>
                    <w:rPr>
                      <w:rFonts w:hint="eastAsia" w:ascii="宋体" w:hAnsi="宋体"/>
                      <w:bCs/>
                      <w:color w:val="000000"/>
                    </w:rPr>
                  </w:pPr>
                  <w:r>
                    <w:rPr>
                      <w:rFonts w:hint="eastAsia" w:ascii="宋体" w:hAnsi="宋体"/>
                      <w:bCs/>
                      <w:color w:val="000000"/>
                    </w:rPr>
                    <w:t>中国境内市场</w:t>
                  </w:r>
                </w:p>
              </w:tc>
              <w:tc>
                <w:tcPr>
                  <w:tcW w:w="2792" w:type="dxa"/>
                  <w:noWrap w:val="0"/>
                  <w:vAlign w:val="top"/>
                </w:tcPr>
                <w:p>
                  <w:pPr>
                    <w:adjustRightInd w:val="0"/>
                    <w:snapToGrid w:val="0"/>
                    <w:spacing w:line="340" w:lineRule="exact"/>
                    <w:jc w:val="left"/>
                    <w:rPr>
                      <w:rFonts w:hint="eastAsia" w:ascii="宋体" w:hAnsi="宋体"/>
                      <w:b/>
                      <w:i/>
                      <w:iCs/>
                      <w:color w:val="000000"/>
                    </w:rPr>
                  </w:pPr>
                  <w:r>
                    <w:rPr>
                      <w:rFonts w:hint="eastAsia" w:ascii="宋体" w:hAnsi="宋体"/>
                      <w:bCs/>
                      <w:color w:val="000000"/>
                    </w:rPr>
                    <w:t>丰乐种业：</w:t>
                  </w:r>
                  <w:r>
                    <w:rPr>
                      <w:rFonts w:ascii="宋体" w:hAnsi="宋体"/>
                      <w:bCs/>
                      <w:color w:val="000000"/>
                    </w:rPr>
                    <w:t>0</w:t>
                  </w:r>
                  <w:r>
                    <w:rPr>
                      <w:rFonts w:hint="eastAsia" w:ascii="宋体" w:hAnsi="宋体"/>
                      <w:bCs/>
                      <w:color w:val="000000"/>
                    </w:rPr>
                    <w:t>-</w:t>
                  </w:r>
                  <w:r>
                    <w:rPr>
                      <w:rFonts w:ascii="宋体" w:hAnsi="宋体"/>
                      <w:bCs/>
                      <w:color w:val="000000"/>
                    </w:rPr>
                    <w:t>5</w:t>
                  </w:r>
                  <w:r>
                    <w:rPr>
                      <w:rFonts w:hint="eastAsia" w:ascii="宋体" w:hAnsi="宋体"/>
                      <w:bCs/>
                      <w:color w:val="000000"/>
                    </w:rPr>
                    <w:t>%</w:t>
                  </w:r>
                </w:p>
              </w:tc>
            </w:tr>
          </w:tbl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cs="宋体"/>
                <w:bCs/>
                <w:color w:val="000000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4830D6"/>
    <w:rsid w:val="55483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2023-12-28T03:34:00Z</dcterms:created>
  <dc:creator>胡翌婧</dc:creator>
  <cp:lastModifiedBy>胡翌婧</cp:lastModifiedBy>
  <dcterms:modified xsi:type="dcterms:W3CDTF">2023-12-28T03:34:57Z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11D2AC61FBD646C082FD40B6DF0BB399</vt:lpwstr>
  </property>
</Properties>
</file>