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Times New Roman" w:hAnsi="Times New Roman"/>
          <w:sz w:val="24"/>
          <w:szCs w:val="24"/>
        </w:rPr>
      </w:pPr>
      <w:r>
        <w:rPr>
          <w:rFonts w:hint="eastAsia" w:ascii="Times New Roman" w:hAnsi="Times New Roman"/>
          <w:sz w:val="24"/>
          <w:szCs w:val="24"/>
        </w:rPr>
        <w:t>经营者集中简易案件公示表</w:t>
      </w:r>
    </w:p>
    <w:tbl>
      <w:tblPr>
        <w:tblStyle w:val="4"/>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796"/>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adjustRightInd w:val="0"/>
              <w:snapToGrid w:val="0"/>
              <w:jc w:val="center"/>
              <w:rPr>
                <w:rFonts w:ascii="Times New Roman" w:hAnsi="Times New Roman" w:cs="宋体"/>
                <w:color w:val="333333"/>
                <w:kern w:val="0"/>
                <w:sz w:val="24"/>
                <w:szCs w:val="24"/>
              </w:rPr>
            </w:pPr>
            <w:r>
              <w:rPr>
                <w:rFonts w:hint="eastAsia" w:ascii="Times New Roman" w:hAnsi="Times New Roman" w:cs="宋体"/>
                <w:color w:val="333333"/>
                <w:kern w:val="0"/>
                <w:sz w:val="24"/>
                <w:szCs w:val="24"/>
              </w:rPr>
              <w:t>案件名称</w:t>
            </w:r>
          </w:p>
        </w:tc>
        <w:tc>
          <w:tcPr>
            <w:tcW w:w="6949" w:type="dxa"/>
            <w:gridSpan w:val="2"/>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三菱商事株式会社与戴姆勒卡车股份有限公司等经营者新设合营企业案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6" w:hRule="atLeast"/>
        </w:trPr>
        <w:tc>
          <w:tcPr>
            <w:tcW w:w="1809" w:type="dxa"/>
            <w:shd w:val="clear" w:color="auto" w:fill="D9D9D9"/>
            <w:vAlign w:val="center"/>
          </w:tcPr>
          <w:p>
            <w:pPr>
              <w:adjustRightInd w:val="0"/>
              <w:snapToGrid w:val="0"/>
              <w:jc w:val="center"/>
              <w:rPr>
                <w:rFonts w:ascii="Times New Roman" w:hAnsi="Times New Roman" w:cs="宋体"/>
                <w:color w:val="333333"/>
                <w:kern w:val="0"/>
                <w:sz w:val="24"/>
                <w:szCs w:val="24"/>
              </w:rPr>
            </w:pPr>
            <w:r>
              <w:rPr>
                <w:rFonts w:hint="eastAsia" w:ascii="Times New Roman" w:hAnsi="Times New Roman" w:cs="宋体"/>
                <w:color w:val="333333"/>
                <w:kern w:val="0"/>
                <w:sz w:val="24"/>
                <w:szCs w:val="24"/>
              </w:rPr>
              <w:t>交易概况</w:t>
            </w:r>
          </w:p>
          <w:p>
            <w:pPr>
              <w:adjustRightInd w:val="0"/>
              <w:snapToGrid w:val="0"/>
              <w:jc w:val="center"/>
              <w:rPr>
                <w:rFonts w:ascii="Times New Roman" w:hAnsi="Times New Roman" w:cs="宋体"/>
                <w:color w:val="333333"/>
                <w:kern w:val="0"/>
                <w:sz w:val="24"/>
                <w:szCs w:val="24"/>
              </w:rPr>
            </w:pPr>
            <w:r>
              <w:rPr>
                <w:rFonts w:hint="eastAsia" w:ascii="Times New Roman" w:hAnsi="Times New Roman" w:cs="宋体"/>
                <w:color w:val="333333"/>
                <w:kern w:val="0"/>
                <w:sz w:val="24"/>
                <w:szCs w:val="24"/>
              </w:rPr>
              <w:t>（限200字内）</w:t>
            </w:r>
          </w:p>
        </w:tc>
        <w:tc>
          <w:tcPr>
            <w:tcW w:w="6949" w:type="dxa"/>
            <w:gridSpan w:val="2"/>
          </w:tcPr>
          <w:p>
            <w:pPr>
              <w:widowControl/>
              <w:adjustRightInd w:val="0"/>
              <w:snapToGrid w:val="0"/>
              <w:rPr>
                <w:rFonts w:asciiTheme="minorHAnsi" w:hAnsiTheme="minorHAnsi" w:cstheme="minorBidi"/>
                <w:iCs/>
                <w:sz w:val="24"/>
                <w:szCs w:val="24"/>
              </w:rPr>
            </w:pPr>
            <w:r>
              <w:rPr>
                <w:rFonts w:hint="eastAsia" w:ascii="Times New Roman" w:hAnsi="Times New Roman"/>
                <w:kern w:val="0"/>
                <w:sz w:val="24"/>
                <w:szCs w:val="24"/>
              </w:rPr>
              <w:t>三菱商事株式会社（“</w:t>
            </w:r>
            <w:r>
              <w:rPr>
                <w:rFonts w:hint="eastAsia" w:ascii="Times New Roman" w:hAnsi="Times New Roman"/>
                <w:b/>
                <w:bCs/>
                <w:kern w:val="0"/>
                <w:sz w:val="24"/>
                <w:szCs w:val="24"/>
              </w:rPr>
              <w:t>三菱商事</w:t>
            </w:r>
            <w:r>
              <w:rPr>
                <w:rFonts w:hint="eastAsia" w:ascii="Times New Roman" w:hAnsi="Times New Roman"/>
                <w:kern w:val="0"/>
                <w:sz w:val="24"/>
                <w:szCs w:val="24"/>
              </w:rPr>
              <w:t>”）</w:t>
            </w:r>
            <w:r>
              <w:rPr>
                <w:rFonts w:hint="eastAsia" w:ascii="Times New Roman" w:hAnsi="Times New Roman"/>
                <w:sz w:val="24"/>
                <w:szCs w:val="24"/>
              </w:rPr>
              <w:t xml:space="preserve"> </w:t>
            </w:r>
            <w:r>
              <w:rPr>
                <w:rFonts w:hint="eastAsia" w:ascii="Times New Roman" w:hAnsi="Times New Roman" w:cs="宋体"/>
                <w:color w:val="333333"/>
                <w:kern w:val="0"/>
                <w:sz w:val="24"/>
                <w:szCs w:val="24"/>
              </w:rPr>
              <w:t>、</w:t>
            </w:r>
            <w:r>
              <w:rPr>
                <w:rFonts w:hint="eastAsia" w:ascii="Times New Roman" w:hAnsi="Times New Roman"/>
                <w:iCs/>
                <w:sz w:val="24"/>
                <w:szCs w:val="24"/>
              </w:rPr>
              <w:t>三菱扶桑卡客车株式会社（</w:t>
            </w:r>
            <w:r>
              <w:rPr>
                <w:rFonts w:hint="eastAsia" w:ascii="Times New Roman" w:hAnsi="Times New Roman"/>
                <w:kern w:val="0"/>
                <w:sz w:val="24"/>
                <w:szCs w:val="24"/>
              </w:rPr>
              <w:t>“</w:t>
            </w:r>
            <w:r>
              <w:rPr>
                <w:rFonts w:hint="eastAsia" w:ascii="Times New Roman" w:hAnsi="Times New Roman"/>
                <w:b/>
                <w:bCs/>
                <w:iCs/>
                <w:sz w:val="24"/>
                <w:szCs w:val="24"/>
              </w:rPr>
              <w:t>三菱扶桑</w:t>
            </w:r>
            <w:r>
              <w:rPr>
                <w:rFonts w:hint="eastAsia" w:ascii="Times New Roman" w:hAnsi="Times New Roman"/>
                <w:kern w:val="0"/>
                <w:sz w:val="24"/>
                <w:szCs w:val="24"/>
              </w:rPr>
              <w:t>”，</w:t>
            </w:r>
            <w:r>
              <w:rPr>
                <w:rFonts w:hint="eastAsia" w:ascii="Times New Roman" w:hAnsi="Times New Roman"/>
                <w:iCs/>
                <w:sz w:val="24"/>
                <w:szCs w:val="24"/>
              </w:rPr>
              <w:t>由戴姆勒卡车股份有限公司（</w:t>
            </w:r>
            <w:r>
              <w:rPr>
                <w:rFonts w:hint="eastAsia" w:ascii="Times New Roman" w:hAnsi="Times New Roman" w:cs="宋体"/>
                <w:color w:val="333333"/>
                <w:kern w:val="0"/>
                <w:sz w:val="24"/>
                <w:szCs w:val="24"/>
              </w:rPr>
              <w:t>“</w:t>
            </w:r>
            <w:r>
              <w:rPr>
                <w:rFonts w:hint="eastAsia" w:ascii="Times New Roman" w:hAnsi="Times New Roman" w:cs="宋体"/>
                <w:b/>
                <w:bCs/>
                <w:color w:val="333333"/>
                <w:kern w:val="0"/>
                <w:sz w:val="24"/>
                <w:szCs w:val="24"/>
              </w:rPr>
              <w:t>戴姆勒卡车</w:t>
            </w:r>
            <w:r>
              <w:rPr>
                <w:rFonts w:hint="eastAsia" w:ascii="Times New Roman" w:hAnsi="Times New Roman" w:cs="宋体"/>
                <w:color w:val="333333"/>
                <w:kern w:val="0"/>
                <w:sz w:val="24"/>
                <w:szCs w:val="24"/>
              </w:rPr>
              <w:t>”</w:t>
            </w:r>
            <w:r>
              <w:rPr>
                <w:rFonts w:hint="eastAsia" w:ascii="Times New Roman" w:hAnsi="Times New Roman"/>
                <w:iCs/>
                <w:sz w:val="24"/>
                <w:szCs w:val="24"/>
              </w:rPr>
              <w:t>）单独控制）</w:t>
            </w:r>
            <w:r>
              <w:rPr>
                <w:rFonts w:hint="eastAsia" w:ascii="Times New Roman" w:hAnsi="Times New Roman" w:cs="宋体"/>
                <w:color w:val="333333"/>
                <w:kern w:val="0"/>
                <w:sz w:val="24"/>
                <w:szCs w:val="24"/>
              </w:rPr>
              <w:t>和</w:t>
            </w:r>
            <w:r>
              <w:rPr>
                <w:rFonts w:hint="eastAsia" w:ascii="Times New Roman" w:hAnsi="Times New Roman"/>
                <w:kern w:val="0"/>
                <w:sz w:val="24"/>
                <w:szCs w:val="24"/>
              </w:rPr>
              <w:t>三菱汽车株式会社（“</w:t>
            </w:r>
            <w:r>
              <w:rPr>
                <w:rFonts w:hint="eastAsia" w:ascii="Times New Roman" w:hAnsi="Times New Roman"/>
                <w:b/>
                <w:bCs/>
                <w:kern w:val="0"/>
                <w:sz w:val="24"/>
                <w:szCs w:val="24"/>
              </w:rPr>
              <w:t>三菱汽车</w:t>
            </w:r>
            <w:r>
              <w:rPr>
                <w:rFonts w:hint="eastAsia" w:ascii="Times New Roman" w:hAnsi="Times New Roman"/>
                <w:kern w:val="0"/>
                <w:sz w:val="24"/>
                <w:szCs w:val="24"/>
              </w:rPr>
              <w:t>”）于</w:t>
            </w:r>
            <w:r>
              <w:rPr>
                <w:rFonts w:ascii="Times New Roman" w:hAnsi="Times New Roman"/>
                <w:kern w:val="0"/>
                <w:sz w:val="24"/>
                <w:szCs w:val="24"/>
              </w:rPr>
              <w:t>2023</w:t>
            </w:r>
            <w:r>
              <w:rPr>
                <w:rFonts w:hint="eastAsia" w:ascii="Times New Roman" w:hAnsi="Times New Roman"/>
                <w:kern w:val="0"/>
                <w:sz w:val="24"/>
                <w:szCs w:val="24"/>
              </w:rPr>
              <w:t>年</w:t>
            </w:r>
            <w:r>
              <w:rPr>
                <w:rFonts w:ascii="Times New Roman" w:hAnsi="Times New Roman"/>
                <w:kern w:val="0"/>
                <w:sz w:val="24"/>
                <w:szCs w:val="24"/>
              </w:rPr>
              <w:t>12</w:t>
            </w:r>
            <w:r>
              <w:rPr>
                <w:rFonts w:hint="eastAsia" w:ascii="Times New Roman" w:hAnsi="Times New Roman"/>
                <w:kern w:val="0"/>
                <w:sz w:val="24"/>
                <w:szCs w:val="24"/>
              </w:rPr>
              <w:t>月1</w:t>
            </w:r>
            <w:r>
              <w:rPr>
                <w:rFonts w:ascii="Times New Roman" w:hAnsi="Times New Roman"/>
                <w:kern w:val="0"/>
                <w:sz w:val="24"/>
                <w:szCs w:val="24"/>
              </w:rPr>
              <w:t>7</w:t>
            </w:r>
            <w:r>
              <w:rPr>
                <w:rFonts w:hint="eastAsia" w:ascii="Times New Roman" w:hAnsi="Times New Roman"/>
                <w:kern w:val="0"/>
                <w:sz w:val="24"/>
                <w:szCs w:val="24"/>
              </w:rPr>
              <w:t>日</w:t>
            </w:r>
            <w:r>
              <w:rPr>
                <w:rFonts w:hint="eastAsia" w:ascii="Times New Roman" w:hAnsi="Times New Roman" w:cs="宋体"/>
                <w:color w:val="333333"/>
                <w:kern w:val="0"/>
                <w:sz w:val="24"/>
                <w:szCs w:val="24"/>
              </w:rPr>
              <w:t>签署了一份合资协议，拟新成立一家合营企业（“</w:t>
            </w:r>
            <w:r>
              <w:rPr>
                <w:rFonts w:hint="eastAsia" w:ascii="Times New Roman" w:hAnsi="Times New Roman" w:cs="宋体"/>
                <w:b/>
                <w:bCs/>
                <w:color w:val="333333"/>
                <w:kern w:val="0"/>
                <w:sz w:val="24"/>
                <w:szCs w:val="24"/>
              </w:rPr>
              <w:t>合营企业</w:t>
            </w:r>
            <w:r>
              <w:rPr>
                <w:rFonts w:hint="eastAsia" w:ascii="Times New Roman" w:hAnsi="Times New Roman" w:cs="宋体"/>
                <w:color w:val="333333"/>
                <w:kern w:val="0"/>
                <w:sz w:val="24"/>
                <w:szCs w:val="24"/>
              </w:rPr>
              <w:t>”），合营企业将仅在日本从事电动汽车综合服务平台业务。交易完成后，三菱商事、戴姆勒卡车（通过三菱</w:t>
            </w:r>
            <w:r>
              <w:rPr>
                <w:rFonts w:hint="eastAsia" w:ascii="Times New Roman" w:hAnsi="Times New Roman"/>
                <w:iCs/>
                <w:sz w:val="24"/>
                <w:szCs w:val="24"/>
              </w:rPr>
              <w:t>扶桑</w:t>
            </w:r>
            <w:r>
              <w:rPr>
                <w:rFonts w:hint="eastAsia" w:ascii="Times New Roman" w:hAnsi="Times New Roman" w:cs="宋体"/>
                <w:color w:val="333333"/>
                <w:kern w:val="0"/>
                <w:sz w:val="24"/>
                <w:szCs w:val="24"/>
              </w:rPr>
              <w:t>）和三菱汽车将分别持有合营企业</w:t>
            </w:r>
            <w:r>
              <w:rPr>
                <w:rFonts w:ascii="Times New Roman" w:hAnsi="Times New Roman" w:cs="宋体"/>
                <w:color w:val="333333"/>
                <w:kern w:val="0"/>
                <w:sz w:val="24"/>
                <w:szCs w:val="24"/>
              </w:rPr>
              <w:t>35</w:t>
            </w:r>
            <w:r>
              <w:rPr>
                <w:rFonts w:hint="eastAsia" w:ascii="Times New Roman" w:hAnsi="Times New Roman" w:cs="宋体"/>
                <w:color w:val="333333"/>
                <w:kern w:val="0"/>
                <w:sz w:val="24"/>
                <w:szCs w:val="24"/>
              </w:rPr>
              <w:t>%、</w:t>
            </w:r>
            <w:r>
              <w:rPr>
                <w:rFonts w:ascii="Times New Roman" w:hAnsi="Times New Roman" w:cs="宋体"/>
                <w:color w:val="333333"/>
                <w:kern w:val="0"/>
                <w:sz w:val="24"/>
                <w:szCs w:val="24"/>
              </w:rPr>
              <w:t>35</w:t>
            </w:r>
            <w:r>
              <w:rPr>
                <w:rFonts w:hint="eastAsia" w:ascii="Times New Roman" w:hAnsi="Times New Roman" w:cs="宋体"/>
                <w:color w:val="333333"/>
                <w:kern w:val="0"/>
                <w:sz w:val="24"/>
                <w:szCs w:val="24"/>
              </w:rPr>
              <w:t>%和</w:t>
            </w:r>
            <w:r>
              <w:rPr>
                <w:rFonts w:ascii="Times New Roman" w:hAnsi="Times New Roman" w:cs="宋体"/>
                <w:color w:val="333333"/>
                <w:kern w:val="0"/>
                <w:sz w:val="24"/>
                <w:szCs w:val="24"/>
              </w:rPr>
              <w:t>30</w:t>
            </w:r>
            <w:r>
              <w:rPr>
                <w:rFonts w:hint="eastAsia" w:ascii="Times New Roman" w:hAnsi="Times New Roman" w:cs="宋体"/>
                <w:color w:val="333333"/>
                <w:kern w:val="0"/>
                <w:sz w:val="24"/>
                <w:szCs w:val="24"/>
              </w:rPr>
              <w:t>%的股权，并将共同控制合营企业。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restart"/>
            <w:shd w:val="clear" w:color="auto" w:fill="D9D9D9"/>
            <w:vAlign w:val="center"/>
          </w:tcPr>
          <w:p>
            <w:pPr>
              <w:adjustRightInd w:val="0"/>
              <w:snapToGrid w:val="0"/>
              <w:jc w:val="center"/>
              <w:rPr>
                <w:rFonts w:ascii="Times New Roman" w:hAnsi="Times New Roman" w:cs="宋体"/>
                <w:color w:val="333333"/>
                <w:kern w:val="0"/>
                <w:sz w:val="24"/>
                <w:szCs w:val="24"/>
              </w:rPr>
            </w:pPr>
            <w:r>
              <w:rPr>
                <w:rFonts w:hint="eastAsia" w:ascii="Times New Roman" w:hAnsi="Times New Roman" w:cs="宋体"/>
                <w:color w:val="333333"/>
                <w:kern w:val="0"/>
                <w:sz w:val="24"/>
                <w:szCs w:val="24"/>
              </w:rPr>
              <w:t>参与集中的</w:t>
            </w:r>
          </w:p>
          <w:p>
            <w:pPr>
              <w:adjustRightInd w:val="0"/>
              <w:snapToGrid w:val="0"/>
              <w:jc w:val="center"/>
              <w:rPr>
                <w:rFonts w:ascii="Times New Roman" w:hAnsi="Times New Roman" w:cs="宋体"/>
                <w:color w:val="333333"/>
                <w:kern w:val="0"/>
                <w:sz w:val="24"/>
                <w:szCs w:val="24"/>
              </w:rPr>
            </w:pPr>
            <w:r>
              <w:rPr>
                <w:rFonts w:hint="eastAsia" w:ascii="Times New Roman" w:hAnsi="Times New Roman" w:cs="宋体"/>
                <w:color w:val="333333"/>
                <w:kern w:val="0"/>
                <w:sz w:val="24"/>
                <w:szCs w:val="24"/>
              </w:rPr>
              <w:t>经营者简介</w:t>
            </w:r>
          </w:p>
        </w:tc>
        <w:tc>
          <w:tcPr>
            <w:tcW w:w="1796" w:type="dxa"/>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1、</w:t>
            </w:r>
            <w:r>
              <w:rPr>
                <w:rFonts w:hint="eastAsia" w:ascii="Times New Roman" w:hAnsi="Times New Roman"/>
                <w:sz w:val="24"/>
                <w:szCs w:val="24"/>
              </w:rPr>
              <w:t>三菱商事</w:t>
            </w:r>
          </w:p>
        </w:tc>
        <w:tc>
          <w:tcPr>
            <w:tcW w:w="5153" w:type="dxa"/>
          </w:tcPr>
          <w:p>
            <w:pPr>
              <w:adjustRightInd w:val="0"/>
              <w:snapToGrid w:val="0"/>
              <w:rPr>
                <w:rFonts w:ascii="Times New Roman" w:hAnsi="Times New Roman"/>
                <w:sz w:val="24"/>
                <w:szCs w:val="24"/>
                <w:lang w:val="en-GB"/>
              </w:rPr>
            </w:pPr>
            <w:r>
              <w:rPr>
                <w:rFonts w:hint="eastAsia" w:ascii="Times New Roman" w:hAnsi="Times New Roman"/>
                <w:sz w:val="24"/>
                <w:szCs w:val="24"/>
              </w:rPr>
              <w:t>三菱商事</w:t>
            </w:r>
            <w:r>
              <w:rPr>
                <w:rFonts w:ascii="Times New Roman" w:hAnsi="Times New Roman"/>
                <w:sz w:val="24"/>
                <w:szCs w:val="24"/>
                <w:lang w:val="en-GB"/>
              </w:rPr>
              <w:t>于1950年4月1日在</w:t>
            </w:r>
            <w:r>
              <w:rPr>
                <w:rFonts w:hint="eastAsia" w:ascii="Times New Roman" w:hAnsi="Times New Roman"/>
                <w:sz w:val="24"/>
                <w:szCs w:val="24"/>
                <w:lang w:val="en-GB"/>
              </w:rPr>
              <w:t>日本东京</w:t>
            </w:r>
            <w:r>
              <w:rPr>
                <w:rFonts w:ascii="Times New Roman" w:hAnsi="Times New Roman"/>
                <w:sz w:val="24"/>
                <w:szCs w:val="24"/>
                <w:lang w:val="en-GB"/>
              </w:rPr>
              <w:t>成立，</w:t>
            </w:r>
            <w:r>
              <w:rPr>
                <w:rFonts w:hint="eastAsia" w:ascii="Times New Roman" w:hAnsi="Times New Roman"/>
                <w:sz w:val="24"/>
                <w:szCs w:val="24"/>
                <w:lang w:val="en-GB"/>
              </w:rPr>
              <w:t>为东京</w:t>
            </w:r>
            <w:r>
              <w:rPr>
                <w:rFonts w:ascii="Times New Roman" w:hAnsi="Times New Roman"/>
                <w:sz w:val="24"/>
                <w:szCs w:val="24"/>
                <w:lang w:val="en-GB"/>
              </w:rPr>
              <w:t>证券交易所上市公司</w:t>
            </w:r>
            <w:r>
              <w:rPr>
                <w:rFonts w:hint="eastAsia" w:ascii="Times New Roman" w:hAnsi="Times New Roman"/>
                <w:sz w:val="24"/>
                <w:szCs w:val="24"/>
                <w:lang w:val="en-GB"/>
              </w:rPr>
              <w:t>，</w:t>
            </w:r>
            <w:r>
              <w:rPr>
                <w:rFonts w:hint="eastAsia" w:ascii="Times New Roman" w:hAnsi="Times New Roman"/>
                <w:sz w:val="24"/>
                <w:szCs w:val="24"/>
              </w:rPr>
              <w:t>主要从事产业数字化转型、下一代能源、天然气、工业材料、化学解决方案、矿产资源、产业基础设施、汽车与移动、食品产业、消费产业、电力解决方案、城市开发等行业的项目开发、贸易等业务</w:t>
            </w:r>
            <w:r>
              <w:rPr>
                <w:rFonts w:ascii="Times New Roman" w:hAnsi="Times New Roman"/>
                <w:sz w:val="24"/>
                <w:szCs w:val="24"/>
                <w:lang w:val="en-GB"/>
              </w:rPr>
              <w:t>。</w:t>
            </w:r>
          </w:p>
          <w:p>
            <w:pPr>
              <w:adjustRightInd w:val="0"/>
              <w:snapToGrid w:val="0"/>
              <w:rPr>
                <w:rFonts w:ascii="Times New Roman" w:hAnsi="Times New Roman" w:cs="宋体"/>
                <w:color w:val="333333"/>
                <w:kern w:val="0"/>
                <w:sz w:val="24"/>
                <w:szCs w:val="24"/>
              </w:rPr>
            </w:pPr>
            <w:r>
              <w:rPr>
                <w:rFonts w:hint="eastAsia" w:ascii="Times New Roman" w:hAnsi="Times New Roman"/>
                <w:sz w:val="24"/>
                <w:szCs w:val="24"/>
              </w:rPr>
              <w:t>三菱商事</w:t>
            </w:r>
            <w:r>
              <w:rPr>
                <w:rFonts w:hint="eastAsia" w:ascii="Times New Roman" w:hAnsi="Times New Roman"/>
                <w:sz w:val="24"/>
                <w:szCs w:val="24"/>
                <w:lang w:val="en-GB"/>
              </w:rPr>
              <w:t>没有</w:t>
            </w:r>
            <w:r>
              <w:rPr>
                <w:rFonts w:ascii="Times New Roman" w:hAnsi="Times New Roman"/>
                <w:sz w:val="24"/>
                <w:szCs w:val="24"/>
                <w:lang w:val="en-GB"/>
              </w:rPr>
              <w:t>最终控制人。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1809" w:type="dxa"/>
            <w:vMerge w:val="continue"/>
            <w:shd w:val="clear" w:color="auto" w:fill="D9D9D9"/>
            <w:vAlign w:val="center"/>
          </w:tcPr>
          <w:p>
            <w:pPr>
              <w:adjustRightInd w:val="0"/>
              <w:snapToGrid w:val="0"/>
              <w:jc w:val="center"/>
              <w:rPr>
                <w:rFonts w:ascii="Times New Roman" w:hAnsi="Times New Roman" w:cs="宋体"/>
                <w:color w:val="333333"/>
                <w:kern w:val="0"/>
                <w:sz w:val="24"/>
                <w:szCs w:val="24"/>
              </w:rPr>
            </w:pPr>
          </w:p>
        </w:tc>
        <w:tc>
          <w:tcPr>
            <w:tcW w:w="1796" w:type="dxa"/>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2、戴姆勒卡车</w:t>
            </w:r>
          </w:p>
        </w:tc>
        <w:tc>
          <w:tcPr>
            <w:tcW w:w="5153" w:type="dxa"/>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戴姆勒卡车于2017年1</w:t>
            </w:r>
            <w:r>
              <w:rPr>
                <w:rFonts w:ascii="Times New Roman" w:hAnsi="Times New Roman" w:cs="宋体"/>
                <w:color w:val="333333"/>
                <w:kern w:val="0"/>
                <w:sz w:val="24"/>
                <w:szCs w:val="24"/>
              </w:rPr>
              <w:t>1</w:t>
            </w:r>
            <w:r>
              <w:rPr>
                <w:rFonts w:hint="eastAsia" w:ascii="Times New Roman" w:hAnsi="Times New Roman" w:cs="宋体"/>
                <w:color w:val="333333"/>
                <w:kern w:val="0"/>
                <w:sz w:val="24"/>
                <w:szCs w:val="24"/>
              </w:rPr>
              <w:t>月7日在德国成立，</w:t>
            </w:r>
          </w:p>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主要制造轻型、中型和重型卡车、城市和城际客车、长途客车，以及提供定制的金融服务。</w:t>
            </w:r>
          </w:p>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戴姆勒卡车最终控制人为戴姆勒卡车控股公司，主要作为戴姆勒卡车集团的管理和最终控股公司。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809" w:type="dxa"/>
            <w:vMerge w:val="continue"/>
            <w:shd w:val="clear" w:color="auto" w:fill="D9D9D9"/>
            <w:vAlign w:val="center"/>
          </w:tcPr>
          <w:p>
            <w:pPr>
              <w:adjustRightInd w:val="0"/>
              <w:snapToGrid w:val="0"/>
              <w:jc w:val="center"/>
              <w:rPr>
                <w:rFonts w:ascii="Times New Roman" w:hAnsi="Times New Roman" w:cs="宋体"/>
                <w:color w:val="333333"/>
                <w:kern w:val="0"/>
                <w:sz w:val="24"/>
                <w:szCs w:val="24"/>
              </w:rPr>
            </w:pPr>
          </w:p>
        </w:tc>
        <w:tc>
          <w:tcPr>
            <w:tcW w:w="1796" w:type="dxa"/>
          </w:tcPr>
          <w:p>
            <w:pPr>
              <w:adjustRightInd w:val="0"/>
              <w:snapToGrid w:val="0"/>
              <w:rPr>
                <w:rFonts w:ascii="Times New Roman" w:hAnsi="Times New Roman" w:cs="宋体"/>
                <w:color w:val="333333"/>
                <w:kern w:val="0"/>
                <w:sz w:val="24"/>
                <w:szCs w:val="24"/>
              </w:rPr>
            </w:pPr>
            <w:r>
              <w:rPr>
                <w:rFonts w:ascii="Times New Roman" w:hAnsi="Times New Roman" w:cs="宋体"/>
                <w:color w:val="333333"/>
                <w:kern w:val="0"/>
                <w:sz w:val="24"/>
                <w:szCs w:val="24"/>
              </w:rPr>
              <w:t>3</w:t>
            </w:r>
            <w:r>
              <w:rPr>
                <w:rFonts w:hint="eastAsia" w:ascii="Times New Roman" w:hAnsi="Times New Roman" w:cs="宋体"/>
                <w:color w:val="333333"/>
                <w:kern w:val="0"/>
                <w:sz w:val="24"/>
                <w:szCs w:val="24"/>
              </w:rPr>
              <w:t>、三菱汽车</w:t>
            </w:r>
          </w:p>
        </w:tc>
        <w:tc>
          <w:tcPr>
            <w:tcW w:w="5153" w:type="dxa"/>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三菱汽车于</w:t>
            </w:r>
            <w:r>
              <w:rPr>
                <w:rFonts w:ascii="Times New Roman" w:hAnsi="Times New Roman" w:cs="宋体"/>
                <w:color w:val="333333"/>
                <w:kern w:val="0"/>
                <w:sz w:val="24"/>
                <w:szCs w:val="24"/>
              </w:rPr>
              <w:t>1970</w:t>
            </w:r>
            <w:bookmarkStart w:id="0" w:name="_GoBack"/>
            <w:bookmarkEnd w:id="0"/>
            <w:r>
              <w:rPr>
                <w:rFonts w:hint="eastAsia" w:ascii="Times New Roman" w:hAnsi="Times New Roman" w:cs="宋体"/>
                <w:color w:val="333333"/>
                <w:kern w:val="0"/>
                <w:sz w:val="24"/>
                <w:szCs w:val="24"/>
              </w:rPr>
              <w:t>年</w:t>
            </w:r>
            <w:r>
              <w:rPr>
                <w:rFonts w:ascii="Times New Roman" w:hAnsi="Times New Roman" w:cs="宋体"/>
                <w:color w:val="333333"/>
                <w:kern w:val="0"/>
                <w:sz w:val="24"/>
                <w:szCs w:val="24"/>
              </w:rPr>
              <w:t>4</w:t>
            </w:r>
            <w:r>
              <w:rPr>
                <w:rFonts w:hint="eastAsia" w:ascii="Times New Roman" w:hAnsi="Times New Roman" w:cs="宋体"/>
                <w:color w:val="333333"/>
                <w:kern w:val="0"/>
                <w:sz w:val="24"/>
                <w:szCs w:val="24"/>
              </w:rPr>
              <w:t>月</w:t>
            </w:r>
            <w:r>
              <w:rPr>
                <w:rFonts w:ascii="Times New Roman" w:hAnsi="Times New Roman" w:cs="宋体"/>
                <w:color w:val="333333"/>
                <w:kern w:val="0"/>
                <w:sz w:val="24"/>
                <w:szCs w:val="24"/>
              </w:rPr>
              <w:t>22</w:t>
            </w:r>
            <w:r>
              <w:rPr>
                <w:rFonts w:hint="eastAsia" w:ascii="Times New Roman" w:hAnsi="Times New Roman" w:cs="宋体"/>
                <w:color w:val="333333"/>
                <w:kern w:val="0"/>
                <w:sz w:val="24"/>
                <w:szCs w:val="24"/>
              </w:rPr>
              <w:t>日在日本东京成立，</w:t>
            </w:r>
            <w:r>
              <w:rPr>
                <w:rFonts w:hint="eastAsia" w:ascii="Times New Roman" w:hAnsi="Times New Roman"/>
                <w:sz w:val="24"/>
                <w:szCs w:val="24"/>
                <w:lang w:val="en-GB"/>
              </w:rPr>
              <w:t>为东京</w:t>
            </w:r>
            <w:r>
              <w:rPr>
                <w:rFonts w:ascii="Times New Roman" w:hAnsi="Times New Roman"/>
                <w:sz w:val="24"/>
                <w:szCs w:val="24"/>
                <w:lang w:val="en-GB"/>
              </w:rPr>
              <w:t>证券交易所上市公司</w:t>
            </w:r>
            <w:r>
              <w:rPr>
                <w:rFonts w:hint="eastAsia" w:ascii="Times New Roman" w:hAnsi="Times New Roman"/>
                <w:sz w:val="24"/>
                <w:szCs w:val="24"/>
                <w:lang w:val="en-GB"/>
              </w:rPr>
              <w:t>，</w:t>
            </w:r>
            <w:r>
              <w:rPr>
                <w:rFonts w:hint="eastAsia" w:ascii="Times New Roman" w:hAnsi="Times New Roman" w:cs="宋体"/>
                <w:color w:val="333333"/>
                <w:kern w:val="0"/>
                <w:sz w:val="24"/>
                <w:szCs w:val="24"/>
              </w:rPr>
              <w:t>主要从事与汽车及其相关零配件有关的研发、设计、制造、组装和销售。</w:t>
            </w:r>
          </w:p>
          <w:p>
            <w:pPr>
              <w:adjustRightInd w:val="0"/>
              <w:snapToGrid w:val="0"/>
              <w:rPr>
                <w:rFonts w:ascii="Times New Roman" w:hAnsi="Times New Roman" w:cs="宋体"/>
                <w:color w:val="333333"/>
                <w:kern w:val="0"/>
                <w:sz w:val="24"/>
                <w:szCs w:val="24"/>
                <w:lang w:val="en-GB"/>
              </w:rPr>
            </w:pPr>
            <w:r>
              <w:rPr>
                <w:rFonts w:hint="eastAsia" w:ascii="Times New Roman" w:hAnsi="Times New Roman" w:cs="宋体"/>
                <w:color w:val="333333"/>
                <w:kern w:val="0"/>
                <w:sz w:val="24"/>
                <w:szCs w:val="24"/>
              </w:rPr>
              <w:t>三菱汽车</w:t>
            </w:r>
            <w:r>
              <w:rPr>
                <w:rFonts w:hint="eastAsia" w:ascii="Times New Roman" w:hAnsi="Times New Roman"/>
                <w:sz w:val="24"/>
                <w:szCs w:val="24"/>
                <w:lang w:val="en-GB"/>
              </w:rPr>
              <w:t>最终控制人为日产汽车有限公司，主要从事汽车产品的制造、销售及相关业务。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09" w:type="dxa"/>
            <w:vMerge w:val="restart"/>
            <w:shd w:val="clear" w:color="auto" w:fill="D9D9D9"/>
            <w:vAlign w:val="center"/>
          </w:tcPr>
          <w:p>
            <w:pPr>
              <w:adjustRightInd w:val="0"/>
              <w:snapToGrid w:val="0"/>
              <w:jc w:val="center"/>
              <w:rPr>
                <w:rFonts w:ascii="Times New Roman" w:hAnsi="Times New Roman" w:cs="宋体"/>
                <w:color w:val="333333"/>
                <w:kern w:val="0"/>
                <w:sz w:val="24"/>
                <w:szCs w:val="24"/>
              </w:rPr>
            </w:pPr>
            <w:r>
              <w:rPr>
                <w:rFonts w:hint="eastAsia" w:ascii="Times New Roman" w:hAnsi="Times New Roman" w:cs="宋体"/>
                <w:color w:val="333333"/>
                <w:kern w:val="0"/>
                <w:sz w:val="24"/>
                <w:szCs w:val="24"/>
              </w:rPr>
              <w:t>简易案件理由（可以单选，也可以多选）</w:t>
            </w:r>
          </w:p>
        </w:tc>
        <w:tc>
          <w:tcPr>
            <w:tcW w:w="6949" w:type="dxa"/>
            <w:gridSpan w:val="2"/>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09" w:type="dxa"/>
            <w:vMerge w:val="continue"/>
            <w:shd w:val="clear" w:color="auto" w:fill="D9D9D9"/>
            <w:vAlign w:val="center"/>
          </w:tcPr>
          <w:p>
            <w:pPr>
              <w:adjustRightInd w:val="0"/>
              <w:snapToGrid w:val="0"/>
              <w:jc w:val="center"/>
              <w:rPr>
                <w:rFonts w:ascii="Times New Roman" w:hAnsi="Times New Roman" w:cs="宋体"/>
                <w:color w:val="333333"/>
                <w:kern w:val="0"/>
                <w:sz w:val="24"/>
                <w:szCs w:val="24"/>
              </w:rPr>
            </w:pPr>
          </w:p>
        </w:tc>
        <w:tc>
          <w:tcPr>
            <w:tcW w:w="6949" w:type="dxa"/>
            <w:gridSpan w:val="2"/>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Merge w:val="continue"/>
            <w:shd w:val="clear" w:color="auto" w:fill="D9D9D9"/>
            <w:vAlign w:val="center"/>
          </w:tcPr>
          <w:p>
            <w:pPr>
              <w:adjustRightInd w:val="0"/>
              <w:snapToGrid w:val="0"/>
              <w:jc w:val="center"/>
              <w:rPr>
                <w:rFonts w:ascii="Times New Roman" w:hAnsi="Times New Roman" w:cs="宋体"/>
                <w:color w:val="333333"/>
                <w:kern w:val="0"/>
                <w:sz w:val="24"/>
                <w:szCs w:val="24"/>
              </w:rPr>
            </w:pPr>
          </w:p>
        </w:tc>
        <w:tc>
          <w:tcPr>
            <w:tcW w:w="6949" w:type="dxa"/>
            <w:gridSpan w:val="2"/>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809" w:type="dxa"/>
            <w:vMerge w:val="continue"/>
            <w:shd w:val="clear" w:color="auto" w:fill="D9D9D9"/>
            <w:vAlign w:val="center"/>
          </w:tcPr>
          <w:p>
            <w:pPr>
              <w:adjustRightInd w:val="0"/>
              <w:snapToGrid w:val="0"/>
              <w:jc w:val="center"/>
              <w:rPr>
                <w:rFonts w:ascii="Times New Roman" w:hAnsi="Times New Roman" w:cs="宋体"/>
                <w:color w:val="333333"/>
                <w:kern w:val="0"/>
                <w:sz w:val="24"/>
                <w:szCs w:val="24"/>
              </w:rPr>
            </w:pPr>
          </w:p>
        </w:tc>
        <w:tc>
          <w:tcPr>
            <w:tcW w:w="6949" w:type="dxa"/>
            <w:gridSpan w:val="2"/>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sym w:font="Wingdings 2" w:char="F052"/>
            </w:r>
            <w:r>
              <w:rPr>
                <w:rFonts w:hint="eastAsia" w:ascii="Times New Roman" w:hAnsi="Times New Roman" w:cs="宋体"/>
                <w:color w:val="333333"/>
                <w:kern w:val="0"/>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809" w:type="dxa"/>
            <w:vMerge w:val="continue"/>
            <w:shd w:val="clear" w:color="auto" w:fill="D9D9D9"/>
            <w:vAlign w:val="center"/>
          </w:tcPr>
          <w:p>
            <w:pPr>
              <w:adjustRightInd w:val="0"/>
              <w:snapToGrid w:val="0"/>
              <w:jc w:val="center"/>
              <w:rPr>
                <w:rFonts w:ascii="Times New Roman" w:hAnsi="Times New Roman" w:cs="宋体"/>
                <w:color w:val="333333"/>
                <w:kern w:val="0"/>
                <w:sz w:val="24"/>
                <w:szCs w:val="24"/>
              </w:rPr>
            </w:pPr>
          </w:p>
        </w:tc>
        <w:tc>
          <w:tcPr>
            <w:tcW w:w="6949" w:type="dxa"/>
            <w:gridSpan w:val="2"/>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809" w:type="dxa"/>
            <w:vMerge w:val="continue"/>
            <w:shd w:val="clear" w:color="auto" w:fill="D9D9D9"/>
            <w:vAlign w:val="center"/>
          </w:tcPr>
          <w:p>
            <w:pPr>
              <w:adjustRightInd w:val="0"/>
              <w:snapToGrid w:val="0"/>
              <w:jc w:val="center"/>
              <w:rPr>
                <w:rFonts w:ascii="Times New Roman" w:hAnsi="Times New Roman" w:cs="宋体"/>
                <w:color w:val="333333"/>
                <w:kern w:val="0"/>
                <w:sz w:val="24"/>
                <w:szCs w:val="24"/>
              </w:rPr>
            </w:pPr>
          </w:p>
        </w:tc>
        <w:tc>
          <w:tcPr>
            <w:tcW w:w="6949" w:type="dxa"/>
            <w:gridSpan w:val="2"/>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adjustRightInd w:val="0"/>
              <w:snapToGrid w:val="0"/>
              <w:jc w:val="center"/>
              <w:rPr>
                <w:rFonts w:ascii="Times New Roman" w:hAnsi="Times New Roman" w:cs="宋体"/>
                <w:color w:val="333333"/>
                <w:kern w:val="0"/>
                <w:sz w:val="24"/>
                <w:szCs w:val="24"/>
              </w:rPr>
            </w:pPr>
            <w:r>
              <w:rPr>
                <w:rFonts w:hint="eastAsia" w:ascii="Times New Roman" w:hAnsi="Times New Roman" w:cs="宋体"/>
                <w:color w:val="333333"/>
                <w:kern w:val="0"/>
                <w:sz w:val="24"/>
                <w:szCs w:val="24"/>
              </w:rPr>
              <w:t>备注</w:t>
            </w:r>
          </w:p>
        </w:tc>
        <w:tc>
          <w:tcPr>
            <w:tcW w:w="6949" w:type="dxa"/>
            <w:gridSpan w:val="2"/>
          </w:tcPr>
          <w:p>
            <w:pPr>
              <w:adjustRightInd w:val="0"/>
              <w:snapToGrid w:val="0"/>
              <w:rPr>
                <w:rFonts w:ascii="Times New Roman" w:hAnsi="Times New Roman" w:cs="宋体"/>
                <w:color w:val="333333"/>
                <w:kern w:val="0"/>
                <w:sz w:val="24"/>
                <w:szCs w:val="24"/>
              </w:rPr>
            </w:pPr>
            <w:r>
              <w:rPr>
                <w:rFonts w:hint="eastAsia" w:ascii="Times New Roman" w:hAnsi="Times New Roman" w:cs="宋体"/>
                <w:color w:val="333333"/>
                <w:kern w:val="0"/>
                <w:sz w:val="24"/>
                <w:szCs w:val="24"/>
              </w:rPr>
              <w:t>不适用</w:t>
            </w:r>
          </w:p>
        </w:tc>
      </w:tr>
    </w:tbl>
    <w:p>
      <w:pPr>
        <w:adjustRightInd w:val="0"/>
        <w:snapToGrid w:val="0"/>
        <w:rPr>
          <w:rFonts w:ascii="Times New Roman" w:hAnsi="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C1NDU3NrCwNLQwNjJQ0lEKTi0uzszPAykwrgUAtM1GyywAAAA="/>
  </w:docVars>
  <w:rsids>
    <w:rsidRoot w:val="00CB00DF"/>
    <w:rsid w:val="000133DD"/>
    <w:rsid w:val="000278CA"/>
    <w:rsid w:val="00031B95"/>
    <w:rsid w:val="00037065"/>
    <w:rsid w:val="00051D54"/>
    <w:rsid w:val="00053431"/>
    <w:rsid w:val="000601E2"/>
    <w:rsid w:val="000629EC"/>
    <w:rsid w:val="00093399"/>
    <w:rsid w:val="000D7EB2"/>
    <w:rsid w:val="000D7EBA"/>
    <w:rsid w:val="000E758F"/>
    <w:rsid w:val="000F5AE6"/>
    <w:rsid w:val="00104F63"/>
    <w:rsid w:val="001164CD"/>
    <w:rsid w:val="00150B1C"/>
    <w:rsid w:val="00155717"/>
    <w:rsid w:val="001837A3"/>
    <w:rsid w:val="001A715A"/>
    <w:rsid w:val="001C6AF6"/>
    <w:rsid w:val="001D13A1"/>
    <w:rsid w:val="001E5F4C"/>
    <w:rsid w:val="00226FCA"/>
    <w:rsid w:val="00231237"/>
    <w:rsid w:val="00262177"/>
    <w:rsid w:val="00284707"/>
    <w:rsid w:val="00295A63"/>
    <w:rsid w:val="002A3A44"/>
    <w:rsid w:val="002A6668"/>
    <w:rsid w:val="002B1061"/>
    <w:rsid w:val="002C1F70"/>
    <w:rsid w:val="002D6679"/>
    <w:rsid w:val="003143D3"/>
    <w:rsid w:val="00331000"/>
    <w:rsid w:val="00356DC9"/>
    <w:rsid w:val="003A429E"/>
    <w:rsid w:val="003C0AEB"/>
    <w:rsid w:val="00406B71"/>
    <w:rsid w:val="00433E31"/>
    <w:rsid w:val="004574DA"/>
    <w:rsid w:val="0046083E"/>
    <w:rsid w:val="00461743"/>
    <w:rsid w:val="004762BF"/>
    <w:rsid w:val="0048303D"/>
    <w:rsid w:val="004A2573"/>
    <w:rsid w:val="004D0A73"/>
    <w:rsid w:val="004F7688"/>
    <w:rsid w:val="00500454"/>
    <w:rsid w:val="00526B38"/>
    <w:rsid w:val="00536344"/>
    <w:rsid w:val="005800A0"/>
    <w:rsid w:val="00630119"/>
    <w:rsid w:val="006467D8"/>
    <w:rsid w:val="006615DE"/>
    <w:rsid w:val="00661ADC"/>
    <w:rsid w:val="006A531B"/>
    <w:rsid w:val="006A726D"/>
    <w:rsid w:val="006F7693"/>
    <w:rsid w:val="00710140"/>
    <w:rsid w:val="00737E1A"/>
    <w:rsid w:val="00791163"/>
    <w:rsid w:val="007B4FB0"/>
    <w:rsid w:val="007F2275"/>
    <w:rsid w:val="007F671D"/>
    <w:rsid w:val="00805109"/>
    <w:rsid w:val="008713BC"/>
    <w:rsid w:val="008E35AE"/>
    <w:rsid w:val="008F2FF8"/>
    <w:rsid w:val="00915F0F"/>
    <w:rsid w:val="009204C4"/>
    <w:rsid w:val="009532DF"/>
    <w:rsid w:val="00962DD7"/>
    <w:rsid w:val="00971DA7"/>
    <w:rsid w:val="00997019"/>
    <w:rsid w:val="009A5029"/>
    <w:rsid w:val="009D38D5"/>
    <w:rsid w:val="00A4237F"/>
    <w:rsid w:val="00A51BA6"/>
    <w:rsid w:val="00A53F26"/>
    <w:rsid w:val="00A70FCB"/>
    <w:rsid w:val="00A76A9A"/>
    <w:rsid w:val="00A7775A"/>
    <w:rsid w:val="00A81693"/>
    <w:rsid w:val="00AA0CC5"/>
    <w:rsid w:val="00AA0CEE"/>
    <w:rsid w:val="00AC6B3E"/>
    <w:rsid w:val="00AD648E"/>
    <w:rsid w:val="00B0347E"/>
    <w:rsid w:val="00B16AFE"/>
    <w:rsid w:val="00B571B9"/>
    <w:rsid w:val="00B65DD5"/>
    <w:rsid w:val="00B70A33"/>
    <w:rsid w:val="00BC0F3A"/>
    <w:rsid w:val="00BD10B6"/>
    <w:rsid w:val="00BE3B1B"/>
    <w:rsid w:val="00BE6204"/>
    <w:rsid w:val="00C03F00"/>
    <w:rsid w:val="00C07076"/>
    <w:rsid w:val="00C17A2B"/>
    <w:rsid w:val="00C23A30"/>
    <w:rsid w:val="00C467ED"/>
    <w:rsid w:val="00C807DE"/>
    <w:rsid w:val="00C848BC"/>
    <w:rsid w:val="00C955CE"/>
    <w:rsid w:val="00CB00DF"/>
    <w:rsid w:val="00CF7B00"/>
    <w:rsid w:val="00D04D29"/>
    <w:rsid w:val="00D27F4E"/>
    <w:rsid w:val="00D326A9"/>
    <w:rsid w:val="00D73C72"/>
    <w:rsid w:val="00D8003F"/>
    <w:rsid w:val="00D91847"/>
    <w:rsid w:val="00D94EC9"/>
    <w:rsid w:val="00DD0A64"/>
    <w:rsid w:val="00E02E04"/>
    <w:rsid w:val="00E0592B"/>
    <w:rsid w:val="00E2009B"/>
    <w:rsid w:val="00E31738"/>
    <w:rsid w:val="00E33D7F"/>
    <w:rsid w:val="00E576E4"/>
    <w:rsid w:val="00E74958"/>
    <w:rsid w:val="00E86786"/>
    <w:rsid w:val="00ED2F80"/>
    <w:rsid w:val="00F1624E"/>
    <w:rsid w:val="00F32F8A"/>
    <w:rsid w:val="00F810AA"/>
    <w:rsid w:val="00FA45CC"/>
    <w:rsid w:val="00FB2973"/>
    <w:rsid w:val="00FB43EC"/>
    <w:rsid w:val="00FB6B40"/>
    <w:rsid w:val="00FC4A8B"/>
    <w:rsid w:val="00FC6486"/>
    <w:rsid w:val="00FF54F6"/>
    <w:rsid w:val="42FFF9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pPr>
  </w:style>
  <w:style w:type="paragraph" w:styleId="3">
    <w:name w:val="header"/>
    <w:basedOn w:val="1"/>
    <w:link w:val="6"/>
    <w:unhideWhenUsed/>
    <w:qFormat/>
    <w:uiPriority w:val="99"/>
    <w:pPr>
      <w:tabs>
        <w:tab w:val="center" w:pos="4153"/>
        <w:tab w:val="right" w:pos="8306"/>
      </w:tabs>
    </w:pPr>
  </w:style>
  <w:style w:type="character" w:customStyle="1" w:styleId="6">
    <w:name w:val="Header Char"/>
    <w:basedOn w:val="5"/>
    <w:link w:val="3"/>
    <w:qFormat/>
    <w:uiPriority w:val="99"/>
    <w:rPr>
      <w:rFonts w:ascii="Calibri" w:hAnsi="Calibri" w:eastAsia="宋体" w:cs="Times New Roman"/>
    </w:rPr>
  </w:style>
  <w:style w:type="character" w:customStyle="1" w:styleId="7">
    <w:name w:val="Footer Char"/>
    <w:basedOn w:val="5"/>
    <w:link w:val="2"/>
    <w:qFormat/>
    <w:uiPriority w:val="99"/>
    <w:rPr>
      <w:rFonts w:ascii="Calibri" w:hAnsi="Calibri" w:eastAsia="宋体" w:cs="Times New Roman"/>
    </w:rPr>
  </w:style>
  <w:style w:type="paragraph" w:customStyle="1" w:styleId="8">
    <w:name w:val="Revision"/>
    <w:hidden/>
    <w:semiHidden/>
    <w:qFormat/>
    <w:uiPriority w:val="99"/>
    <w:rPr>
      <w:rFonts w:ascii="Calibri" w:hAnsi="Calibri" w:eastAsia="宋体" w:cs="Times New Roman"/>
      <w:kern w:val="2"/>
      <w:sz w:val="21"/>
      <w:szCs w:val="22"/>
      <w:lang w:val="en-US" w:eastAsia="zh-CN" w:bidi="ar-SA"/>
    </w:rPr>
  </w:style>
  <w:style w:type="paragraph" w:styleId="9">
    <w:name w:val="List Paragraph"/>
    <w:basedOn w:val="1"/>
    <w:link w:val="10"/>
    <w:qFormat/>
    <w:uiPriority w:val="34"/>
    <w:pPr>
      <w:ind w:left="720"/>
      <w:contextualSpacing/>
    </w:pPr>
    <w:rPr>
      <w:rFonts w:asciiTheme="minorHAnsi" w:hAnsiTheme="minorHAnsi" w:eastAsiaTheme="minorEastAsia" w:cstheme="minorBidi"/>
    </w:rPr>
  </w:style>
  <w:style w:type="character" w:customStyle="1" w:styleId="10">
    <w:name w:val="List Paragraph Char"/>
    <w:basedOn w:val="5"/>
    <w:link w:val="9"/>
    <w:qFormat/>
    <w:locked/>
    <w:uiPriority w:val="34"/>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144</Words>
  <Characters>826</Characters>
  <Lines>6</Lines>
  <Paragraphs>1</Paragraphs>
  <TotalTime>1</TotalTime>
  <ScaleCrop>false</ScaleCrop>
  <LinksUpToDate>false</LinksUpToDate>
  <CharactersWithSpaces>969</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2024-01-25T17:50:00Z</dcterms:created>
  <dc:creator>陈媚</dc:creator>
  <cp:lastModifiedBy>HJ</cp:lastModifiedBy>
  <dcterms:modified xsi:type="dcterms:W3CDTF">2024-01-26T11:10:20Z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0x01010066AAA4A189E15340A8F90A14B5E3178D010093B0E8CA13B14C41BAFE6564DDF24F70</vt:lpwstr>
  </property>
  <property fmtid="{D5CDD505-2E9C-101B-9397-08002B2CF9AE}" pid="3" name="Jurisdiction">
    <vt:lpwstr/>
  </property>
  <property fmtid="{D5CDD505-2E9C-101B-9397-08002B2CF9AE}" pid="4" name="LegalDocumentType">
    <vt:lpwstr/>
  </property>
  <property fmtid="{D5CDD505-2E9C-101B-9397-08002B2CF9AE}" pid="5" name="_dlc_DocIdItemGuid">
    <vt:lpwstr>80c59c8e-cf8e-4503-815b-29467693d16c</vt:lpwstr>
  </property>
  <property fmtid="{D5CDD505-2E9C-101B-9397-08002B2CF9AE}" pid="6" name="LegalTopic">
    <vt:lpwstr/>
  </property>
  <property fmtid="{D5CDD505-2E9C-101B-9397-08002B2CF9AE}" pid="7" name="CCDocID">
    <vt:lpwstr>10274927776-v4</vt:lpwstr>
  </property>
  <property fmtid="{D5CDD505-2E9C-101B-9397-08002B2CF9AE}" pid="8" name="CCMatter">
    <vt:lpwstr>70-41062870</vt:lpwstr>
  </property>
  <property fmtid="{D5CDD505-2E9C-101B-9397-08002B2CF9AE}" pid="9" name="KSOProductBuildVer">
    <vt:lpwstr>2052-11.8.2.10552</vt:lpwstr>
  </property>
</Properties>
</file>