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Fonts w:hint="eastAsia" w:ascii="黑体" w:hAnsi="黑体" w:eastAsia="黑体" w:cs="黑体"/>
          <w:bCs/>
          <w:kern w:val="0"/>
          <w:sz w:val="36"/>
          <w:szCs w:val="36"/>
          <w:lang w:val="en-GB" w:bidi="ar-AE"/>
        </w:rPr>
      </w:pPr>
      <w:r>
        <w:rPr>
          <w:rFonts w:hint="eastAsia" w:ascii="黑体" w:hAnsi="黑体" w:eastAsia="黑体" w:cs="黑体"/>
          <w:bCs/>
          <w:kern w:val="0"/>
          <w:sz w:val="36"/>
          <w:szCs w:val="36"/>
          <w:lang w:val="en-GB" w:bidi="ar-AE"/>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案件名称</w:t>
            </w:r>
          </w:p>
        </w:tc>
        <w:tc>
          <w:tcPr>
            <w:tcW w:w="7700" w:type="dxa"/>
            <w:gridSpan w:val="2"/>
            <w:vAlign w:val="center"/>
          </w:tcPr>
          <w:p>
            <w:pPr>
              <w:adjustRightInd w:val="0"/>
              <w:snapToGrid w:val="0"/>
              <w:rPr>
                <w:rFonts w:ascii="宋体" w:hAnsi="宋体" w:cs="宋体"/>
                <w:bCs/>
                <w:color w:val="000000"/>
                <w:szCs w:val="21"/>
              </w:rPr>
            </w:pPr>
            <w:bookmarkStart w:id="0" w:name="_GoBack"/>
            <w:r>
              <w:rPr>
                <w:rFonts w:hint="eastAsia" w:ascii="宋体" w:hAnsi="宋体" w:cs="宋体"/>
                <w:bCs/>
                <w:color w:val="000000"/>
                <w:szCs w:val="21"/>
              </w:rPr>
              <w:t>广州越秀产业投资基金管理股份有限公司与南网私募基金管理有限公司等经营者新设合营企业案</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交易概况（限200字内）</w:t>
            </w:r>
          </w:p>
        </w:tc>
        <w:tc>
          <w:tcPr>
            <w:tcW w:w="7700" w:type="dxa"/>
            <w:gridSpan w:val="2"/>
            <w:vAlign w:val="center"/>
          </w:tcPr>
          <w:p>
            <w:pPr>
              <w:adjustRightInd w:val="0"/>
              <w:snapToGrid w:val="0"/>
              <w:rPr>
                <w:rFonts w:ascii="宋体" w:hAnsi="宋体" w:cs="宋体"/>
                <w:bCs/>
                <w:color w:val="000000"/>
                <w:szCs w:val="21"/>
              </w:rPr>
            </w:pPr>
            <w:r>
              <w:rPr>
                <w:rFonts w:hint="eastAsia" w:ascii="宋体" w:hAnsi="宋体" w:cs="宋体"/>
                <w:bCs/>
                <w:color w:val="000000"/>
                <w:szCs w:val="21"/>
              </w:rPr>
              <w:t>广州越秀产业投资基金管理股份有限公司（“越秀产业基金”）、南网私募基金管理有限公司（“南网基金”）、广州越秀资本控股集团股份有限公司（“越秀资本控股”）等经营者签署《合伙协议》，拟共同新设一家合营企业。合营企业将主要从事私募股权投资基金业务。交易后，越秀产业基金、南网基金和越秀资本控股将分别持有合营企业0.</w:t>
            </w:r>
            <w:r>
              <w:rPr>
                <w:rFonts w:ascii="宋体" w:hAnsi="宋体" w:cs="宋体"/>
                <w:bCs/>
                <w:color w:val="000000"/>
                <w:szCs w:val="21"/>
              </w:rPr>
              <w:t>1</w:t>
            </w:r>
            <w:r>
              <w:rPr>
                <w:rFonts w:hint="eastAsia" w:ascii="宋体" w:hAnsi="宋体" w:cs="宋体"/>
                <w:bCs/>
                <w:color w:val="000000"/>
                <w:szCs w:val="21"/>
              </w:rPr>
              <w:t>%、</w:t>
            </w:r>
            <w:r>
              <w:rPr>
                <w:rFonts w:ascii="宋体" w:hAnsi="宋体" w:cs="宋体"/>
                <w:bCs/>
                <w:color w:val="000000"/>
                <w:szCs w:val="21"/>
              </w:rPr>
              <w:t>0</w:t>
            </w:r>
            <w:r>
              <w:rPr>
                <w:rFonts w:hint="eastAsia" w:ascii="宋体" w:hAnsi="宋体" w:cs="宋体"/>
                <w:bCs/>
                <w:color w:val="000000"/>
                <w:szCs w:val="21"/>
              </w:rPr>
              <w:t>.</w:t>
            </w:r>
            <w:r>
              <w:rPr>
                <w:rFonts w:ascii="宋体" w:hAnsi="宋体" w:cs="宋体"/>
                <w:bCs/>
                <w:color w:val="000000"/>
                <w:szCs w:val="21"/>
              </w:rPr>
              <w:t>1</w:t>
            </w:r>
            <w:r>
              <w:rPr>
                <w:rFonts w:hint="eastAsia" w:ascii="宋体" w:hAnsi="宋体" w:cs="宋体"/>
                <w:bCs/>
                <w:color w:val="000000"/>
                <w:szCs w:val="21"/>
              </w:rPr>
              <w:t>%、</w:t>
            </w:r>
            <w:r>
              <w:rPr>
                <w:rFonts w:ascii="宋体" w:hAnsi="宋体" w:cs="宋体"/>
                <w:bCs/>
                <w:color w:val="000000"/>
                <w:szCs w:val="21"/>
              </w:rPr>
              <w:t>69</w:t>
            </w:r>
            <w:r>
              <w:rPr>
                <w:rFonts w:hint="eastAsia" w:ascii="宋体" w:hAnsi="宋体" w:cs="宋体"/>
                <w:bCs/>
                <w:color w:val="000000"/>
                <w:szCs w:val="21"/>
              </w:rPr>
              <w:t>.</w:t>
            </w:r>
            <w:r>
              <w:rPr>
                <w:rFonts w:ascii="宋体" w:hAnsi="宋体" w:cs="宋体"/>
                <w:bCs/>
                <w:color w:val="000000"/>
                <w:szCs w:val="21"/>
              </w:rPr>
              <w:t>9%</w:t>
            </w:r>
            <w:r>
              <w:rPr>
                <w:rFonts w:hint="eastAsia" w:ascii="宋体" w:hAnsi="宋体" w:cs="宋体"/>
                <w:bCs/>
                <w:color w:val="000000"/>
                <w:szCs w:val="21"/>
              </w:rPr>
              <w:t>的合伙份额，并共同控制合营企业。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参与集中的经营者简介（每个限100字以内）</w:t>
            </w:r>
          </w:p>
        </w:tc>
        <w:tc>
          <w:tcPr>
            <w:tcW w:w="1607" w:type="dxa"/>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1.越秀产业基金</w:t>
            </w:r>
          </w:p>
        </w:tc>
        <w:tc>
          <w:tcPr>
            <w:tcW w:w="6093" w:type="dxa"/>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越秀产业基金于201</w:t>
            </w:r>
            <w:r>
              <w:rPr>
                <w:rFonts w:ascii="宋体" w:hAnsi="宋体" w:cs="宋体"/>
                <w:bCs/>
                <w:color w:val="000000"/>
                <w:szCs w:val="21"/>
              </w:rPr>
              <w:t>1</w:t>
            </w:r>
            <w:r>
              <w:rPr>
                <w:rFonts w:hint="eastAsia" w:ascii="宋体" w:hAnsi="宋体" w:cs="宋体"/>
                <w:bCs/>
                <w:color w:val="000000"/>
                <w:szCs w:val="21"/>
              </w:rPr>
              <w:t>年</w:t>
            </w:r>
            <w:r>
              <w:rPr>
                <w:rFonts w:ascii="宋体" w:hAnsi="宋体" w:cs="宋体"/>
                <w:bCs/>
                <w:color w:val="000000"/>
                <w:szCs w:val="21"/>
              </w:rPr>
              <w:t>8</w:t>
            </w:r>
            <w:r>
              <w:rPr>
                <w:rFonts w:hint="eastAsia" w:ascii="宋体" w:hAnsi="宋体" w:cs="宋体"/>
                <w:bCs/>
                <w:color w:val="000000"/>
                <w:szCs w:val="21"/>
              </w:rPr>
              <w:t>月</w:t>
            </w:r>
            <w:r>
              <w:rPr>
                <w:rFonts w:ascii="宋体" w:hAnsi="宋体" w:cs="宋体"/>
                <w:bCs/>
                <w:color w:val="000000"/>
                <w:szCs w:val="21"/>
              </w:rPr>
              <w:t>1</w:t>
            </w:r>
            <w:r>
              <w:rPr>
                <w:rFonts w:hint="eastAsia" w:ascii="宋体" w:hAnsi="宋体" w:cs="宋体"/>
                <w:bCs/>
                <w:color w:val="000000"/>
                <w:szCs w:val="21"/>
              </w:rPr>
              <w:t>日成立于中国广东省广州市，主要从事私募股权投资基金管理业务。</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越秀产业基金的最终控制人为广州越秀集团股份有限公司（“越秀集团”），主要从事房地产开发、金融投资、交通道路建设和运营管理、食品生产等业务。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1607" w:type="dxa"/>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2</w:t>
            </w:r>
            <w:r>
              <w:rPr>
                <w:rFonts w:ascii="宋体" w:hAnsi="宋体" w:cs="宋体"/>
                <w:bCs/>
                <w:color w:val="000000"/>
                <w:szCs w:val="21"/>
              </w:rPr>
              <w:t>.</w:t>
            </w:r>
            <w:r>
              <w:rPr>
                <w:rFonts w:hint="eastAsia" w:ascii="宋体" w:hAnsi="宋体" w:cs="宋体"/>
                <w:bCs/>
                <w:color w:val="000000"/>
                <w:szCs w:val="21"/>
              </w:rPr>
              <w:t>南网基金</w:t>
            </w:r>
          </w:p>
        </w:tc>
        <w:tc>
          <w:tcPr>
            <w:tcW w:w="6093" w:type="dxa"/>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南网基金于20</w:t>
            </w:r>
            <w:r>
              <w:rPr>
                <w:rFonts w:ascii="宋体" w:hAnsi="宋体" w:cs="宋体"/>
                <w:bCs/>
                <w:color w:val="000000"/>
                <w:szCs w:val="21"/>
              </w:rPr>
              <w:t>23</w:t>
            </w:r>
            <w:r>
              <w:rPr>
                <w:rFonts w:hint="eastAsia" w:ascii="宋体" w:hAnsi="宋体" w:cs="宋体"/>
                <w:bCs/>
                <w:color w:val="000000"/>
                <w:szCs w:val="21"/>
              </w:rPr>
              <w:t>年</w:t>
            </w:r>
            <w:r>
              <w:rPr>
                <w:rFonts w:ascii="宋体" w:hAnsi="宋体" w:cs="宋体"/>
                <w:bCs/>
                <w:color w:val="000000"/>
                <w:szCs w:val="21"/>
              </w:rPr>
              <w:t>6</w:t>
            </w:r>
            <w:r>
              <w:rPr>
                <w:rFonts w:hint="eastAsia" w:ascii="宋体" w:hAnsi="宋体" w:cs="宋体"/>
                <w:bCs/>
                <w:color w:val="000000"/>
                <w:szCs w:val="21"/>
              </w:rPr>
              <w:t>月</w:t>
            </w:r>
            <w:r>
              <w:rPr>
                <w:rFonts w:ascii="宋体" w:hAnsi="宋体" w:cs="宋体"/>
                <w:bCs/>
                <w:color w:val="000000"/>
                <w:szCs w:val="21"/>
              </w:rPr>
              <w:t>29</w:t>
            </w:r>
            <w:r>
              <w:rPr>
                <w:rFonts w:hint="eastAsia" w:ascii="宋体" w:hAnsi="宋体" w:cs="宋体"/>
                <w:bCs/>
                <w:color w:val="000000"/>
                <w:szCs w:val="21"/>
              </w:rPr>
              <w:t>日成立于中国广东省广州市，主要从事私募股权投资基金管理业务。</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南网基金的</w:t>
            </w:r>
            <w:r>
              <w:rPr>
                <w:rFonts w:hint="eastAsia" w:ascii="宋体" w:hAnsi="宋体" w:cs="宋体"/>
                <w:szCs w:val="21"/>
                <w:lang w:bidi="ar"/>
              </w:rPr>
              <w:t>最终控制人为中国南方电网有限责任公司，主要从事南方五省区电力供应、区域电网管理、电力交易与调度业务。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1607" w:type="dxa"/>
            <w:vAlign w:val="center"/>
          </w:tcPr>
          <w:p>
            <w:pPr>
              <w:pStyle w:val="3"/>
              <w:adjustRightInd w:val="0"/>
              <w:snapToGrid w:val="0"/>
              <w:spacing w:after="0"/>
              <w:rPr>
                <w:rFonts w:ascii="宋体" w:hAnsi="宋体" w:cs="宋体"/>
                <w:bCs/>
                <w:color w:val="000000"/>
                <w:szCs w:val="21"/>
              </w:rPr>
            </w:pPr>
            <w:r>
              <w:rPr>
                <w:rFonts w:ascii="宋体" w:hAnsi="宋体" w:cs="宋体"/>
                <w:bCs/>
                <w:color w:val="000000"/>
                <w:szCs w:val="21"/>
              </w:rPr>
              <w:t>3</w:t>
            </w:r>
            <w:r>
              <w:rPr>
                <w:rFonts w:hint="eastAsia" w:ascii="宋体" w:hAnsi="宋体" w:cs="宋体"/>
                <w:bCs/>
                <w:color w:val="000000"/>
                <w:szCs w:val="21"/>
              </w:rPr>
              <w:t>.越秀资本控股</w:t>
            </w:r>
          </w:p>
          <w:p>
            <w:pPr>
              <w:pStyle w:val="3"/>
              <w:adjustRightInd w:val="0"/>
              <w:snapToGrid w:val="0"/>
              <w:spacing w:after="0"/>
              <w:rPr>
                <w:rFonts w:ascii="宋体" w:hAnsi="宋体" w:cs="宋体"/>
                <w:bCs/>
                <w:color w:val="000000"/>
                <w:szCs w:val="21"/>
              </w:rPr>
            </w:pPr>
          </w:p>
        </w:tc>
        <w:tc>
          <w:tcPr>
            <w:tcW w:w="6093" w:type="dxa"/>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越秀资本控股于</w:t>
            </w:r>
            <w:r>
              <w:rPr>
                <w:rFonts w:ascii="宋体" w:hAnsi="宋体" w:cs="宋体"/>
                <w:bCs/>
                <w:color w:val="000000"/>
                <w:szCs w:val="21"/>
              </w:rPr>
              <w:t>1992</w:t>
            </w:r>
            <w:r>
              <w:rPr>
                <w:rFonts w:hint="eastAsia" w:ascii="宋体" w:hAnsi="宋体" w:cs="宋体"/>
                <w:bCs/>
                <w:color w:val="000000"/>
                <w:szCs w:val="21"/>
              </w:rPr>
              <w:t>年</w:t>
            </w:r>
            <w:r>
              <w:rPr>
                <w:rFonts w:ascii="宋体" w:hAnsi="宋体" w:cs="宋体"/>
                <w:bCs/>
                <w:color w:val="000000"/>
                <w:szCs w:val="21"/>
              </w:rPr>
              <w:t>12</w:t>
            </w:r>
            <w:r>
              <w:rPr>
                <w:rFonts w:hint="eastAsia" w:ascii="宋体" w:hAnsi="宋体" w:cs="宋体"/>
                <w:bCs/>
                <w:color w:val="000000"/>
                <w:szCs w:val="21"/>
              </w:rPr>
              <w:t>月</w:t>
            </w:r>
            <w:r>
              <w:rPr>
                <w:rFonts w:ascii="宋体" w:hAnsi="宋体" w:cs="宋体"/>
                <w:bCs/>
                <w:color w:val="000000"/>
                <w:szCs w:val="21"/>
              </w:rPr>
              <w:t>24</w:t>
            </w:r>
            <w:r>
              <w:rPr>
                <w:rFonts w:hint="eastAsia" w:ascii="宋体" w:hAnsi="宋体" w:cs="宋体"/>
                <w:bCs/>
                <w:color w:val="000000"/>
                <w:szCs w:val="21"/>
              </w:rPr>
              <w:t>日成立于中国广东省广州市，主要从事不良资产管理、融资租赁、投资管理等业务。</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越秀资本控股的最终控制人为越秀集团，其主要从事的业务如上所述。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简易案件理由（可以单选，也可以多选）</w:t>
            </w: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FE"/>
            </w:r>
            <w:r>
              <w:rPr>
                <w:rFonts w:hint="eastAsia" w:ascii="宋体" w:hAnsi="宋体" w:cs="宋体"/>
                <w:bCs/>
                <w:color w:val="000000"/>
                <w:szCs w:val="21"/>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A8"/>
            </w:r>
            <w:r>
              <w:rPr>
                <w:rFonts w:hint="eastAsia" w:ascii="宋体" w:hAnsi="宋体" w:cs="宋体"/>
                <w:bCs/>
                <w:color w:val="000000"/>
                <w:szCs w:val="21"/>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A8"/>
            </w:r>
            <w:r>
              <w:rPr>
                <w:rFonts w:hint="eastAsia" w:ascii="宋体" w:hAnsi="宋体" w:cs="宋体"/>
                <w:bCs/>
                <w:color w:val="000000"/>
                <w:szCs w:val="21"/>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A8"/>
            </w:r>
            <w:r>
              <w:rPr>
                <w:rFonts w:hint="eastAsia" w:ascii="宋体" w:hAnsi="宋体" w:cs="宋体"/>
                <w:bCs/>
                <w:color w:val="000000"/>
                <w:szCs w:val="21"/>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A8"/>
            </w:r>
            <w:r>
              <w:rPr>
                <w:rFonts w:hint="eastAsia" w:ascii="宋体" w:hAnsi="宋体" w:cs="宋体"/>
                <w:bCs/>
                <w:color w:val="000000"/>
                <w:szCs w:val="21"/>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vAlign w:val="center"/>
          </w:tcPr>
          <w:p>
            <w:pPr>
              <w:pStyle w:val="3"/>
              <w:adjustRightInd w:val="0"/>
              <w:snapToGrid w:val="0"/>
              <w:spacing w:after="0"/>
              <w:rPr>
                <w:rFonts w:ascii="宋体" w:hAnsi="宋体" w:cs="宋体"/>
                <w:bCs/>
                <w:color w:val="000000"/>
                <w:szCs w:val="21"/>
              </w:rPr>
            </w:pPr>
          </w:p>
        </w:tc>
        <w:tc>
          <w:tcPr>
            <w:tcW w:w="7700" w:type="dxa"/>
            <w:gridSpan w:val="2"/>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sym w:font="Wingdings" w:char="00A8"/>
            </w:r>
            <w:r>
              <w:rPr>
                <w:rFonts w:hint="eastAsia" w:ascii="宋体" w:hAnsi="宋体" w:cs="宋体"/>
                <w:bCs/>
                <w:color w:val="000000"/>
                <w:szCs w:val="21"/>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vAlign w:val="center"/>
          </w:tcPr>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备注</w:t>
            </w:r>
          </w:p>
        </w:tc>
        <w:tc>
          <w:tcPr>
            <w:tcW w:w="7700" w:type="dxa"/>
            <w:gridSpan w:val="2"/>
            <w:vAlign w:val="center"/>
          </w:tcPr>
          <w:p>
            <w:pPr>
              <w:pStyle w:val="3"/>
              <w:adjustRightInd w:val="0"/>
              <w:snapToGrid w:val="0"/>
              <w:spacing w:after="0"/>
              <w:rPr>
                <w:rFonts w:ascii="宋体" w:hAnsi="宋体" w:cs="宋体"/>
                <w:b/>
                <w:color w:val="000000"/>
                <w:szCs w:val="21"/>
              </w:rPr>
            </w:pPr>
            <w:r>
              <w:rPr>
                <w:rFonts w:hint="eastAsia" w:ascii="宋体" w:hAnsi="宋体" w:cs="宋体"/>
                <w:b/>
                <w:color w:val="000000"/>
                <w:szCs w:val="21"/>
              </w:rPr>
              <w:t>横向重叠：</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2022年中国境内私募股权投资基金市场：</w:t>
            </w:r>
          </w:p>
          <w:p>
            <w:pPr>
              <w:pStyle w:val="3"/>
              <w:adjustRightInd w:val="0"/>
              <w:snapToGrid w:val="0"/>
              <w:spacing w:after="0"/>
              <w:rPr>
                <w:rFonts w:ascii="宋体" w:hAnsi="宋体" w:cs="宋体"/>
                <w:bCs/>
                <w:color w:val="000000"/>
                <w:szCs w:val="21"/>
              </w:rPr>
            </w:pPr>
            <w:r>
              <w:rPr>
                <w:rFonts w:hint="eastAsia" w:ascii="宋体" w:hAnsi="宋体" w:cs="宋体"/>
                <w:bCs/>
                <w:color w:val="000000"/>
                <w:szCs w:val="21"/>
              </w:rPr>
              <w:t>越秀产业基金：0-5%，南网基金：0-5%，合营企业（预计）：0-5%，各方合计：0-5%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7F21F3"/>
    <w:rsid w:val="797F2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2024-02-21T03:07:00Z</dcterms:created>
  <dc:creator>胡翌婧</dc:creator>
  <cp:lastModifiedBy>胡翌婧</cp:lastModifiedBy>
  <dcterms:modified xsi:type="dcterms:W3CDTF">2024-02-21T03:11:08Z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86753FF7A62D4623924E93352571AA86</vt:lpwstr>
  </property>
</Properties>
</file>