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简体" w:cs="Times New Roman"/>
          <w:kern w:val="2"/>
          <w:sz w:val="44"/>
          <w:szCs w:val="36"/>
          <w:lang w:val="en-US" w:eastAsia="zh-CN" w:bidi="ar-SA"/>
        </w:rPr>
      </w:pPr>
      <w:bookmarkStart w:id="0" w:name="_GoBack"/>
      <w:r>
        <w:rPr>
          <w:rFonts w:hint="default" w:ascii="Times New Roman" w:hAnsi="Times New Roman" w:eastAsia="黑体" w:cs="Times New Roman"/>
          <w:bCs/>
          <w:kern w:val="0"/>
          <w:sz w:val="36"/>
          <w:szCs w:val="36"/>
          <w:lang w:val="en-US" w:eastAsia="zh-CN" w:bidi="ar-AE"/>
        </w:rPr>
        <w:t>经营者集中简易案件公示表</w:t>
      </w:r>
    </w:p>
    <w:bookmarkEnd w:id="0"/>
    <w:tbl>
      <w:tblPr>
        <w:tblStyle w:val="3"/>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940" w:type="dxa"/>
            <w:shd w:val="clear" w:color="auto" w:fill="D9D9D9"/>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案件名称</w:t>
            </w:r>
          </w:p>
        </w:tc>
        <w:tc>
          <w:tcPr>
            <w:tcW w:w="7700" w:type="dxa"/>
            <w:gridSpan w:val="2"/>
            <w:noWrap w:val="0"/>
            <w:vAlign w:val="center"/>
          </w:tcPr>
          <w:p>
            <w:pPr>
              <w:adjustRightInd w:val="0"/>
              <w:snapToGrid w:val="0"/>
              <w:spacing w:after="0"/>
              <w:rPr>
                <w:rFonts w:hint="eastAsia" w:ascii="宋体" w:hAnsi="宋体" w:eastAsia="宋体" w:cs="宋体"/>
                <w:sz w:val="21"/>
                <w:szCs w:val="21"/>
                <w:lang w:val="en-US"/>
              </w:rPr>
            </w:pPr>
            <w:r>
              <w:rPr>
                <w:rFonts w:eastAsia="宋体"/>
                <w:bCs/>
                <w:color w:val="000000"/>
                <w:sz w:val="21"/>
                <w:szCs w:val="21"/>
                <w:lang w:val="en-US"/>
              </w:rPr>
              <w:t>深圳迈瑞生物医疗电子股份有限公司收购深圳惠泰医疗器械股份有限公司股权案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940" w:type="dxa"/>
            <w:shd w:val="clear" w:color="auto" w:fill="D9D9D9"/>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交易概况（限200字内）</w:t>
            </w:r>
          </w:p>
        </w:tc>
        <w:tc>
          <w:tcPr>
            <w:tcW w:w="7700" w:type="dxa"/>
            <w:gridSpan w:val="2"/>
            <w:noWrap w:val="0"/>
            <w:vAlign w:val="center"/>
          </w:tcPr>
          <w:p>
            <w:pPr>
              <w:widowControl w:val="0"/>
              <w:adjustRightInd w:val="0"/>
              <w:snapToGrid w:val="0"/>
              <w:spacing w:after="0"/>
              <w:rPr>
                <w:rFonts w:hint="eastAsia" w:ascii="宋体" w:hAnsi="宋体" w:eastAsia="宋体" w:cs="宋体"/>
                <w:sz w:val="21"/>
                <w:szCs w:val="21"/>
                <w:lang w:val="en-US"/>
              </w:rPr>
            </w:pPr>
            <w:r>
              <w:rPr>
                <w:rFonts w:eastAsia="宋体"/>
                <w:sz w:val="21"/>
                <w:szCs w:val="21"/>
                <w:lang w:val="en-US"/>
              </w:rPr>
              <w:t>本次交易涉及</w:t>
            </w:r>
            <w:r>
              <w:rPr>
                <w:rFonts w:eastAsia="宋体"/>
                <w:bCs/>
                <w:color w:val="000000"/>
                <w:sz w:val="21"/>
                <w:szCs w:val="21"/>
                <w:lang w:val="en-US"/>
              </w:rPr>
              <w:t>深圳</w:t>
            </w:r>
            <w:r>
              <w:rPr>
                <w:rFonts w:eastAsia="宋体"/>
                <w:b w:val="0"/>
                <w:bCs/>
                <w:color w:val="000000"/>
                <w:sz w:val="21"/>
                <w:szCs w:val="21"/>
                <w:lang w:val="en-US"/>
              </w:rPr>
              <w:t>迈瑞生物医疗电子股份有限公司（“迈瑞”）</w:t>
            </w:r>
            <w:r>
              <w:rPr>
                <w:rFonts w:hint="eastAsia" w:eastAsia="宋体"/>
                <w:b w:val="0"/>
                <w:bCs/>
                <w:color w:val="000000"/>
                <w:sz w:val="21"/>
                <w:szCs w:val="21"/>
                <w:lang w:val="en-US"/>
              </w:rPr>
              <w:t>间接</w:t>
            </w:r>
            <w:r>
              <w:rPr>
                <w:rFonts w:eastAsia="宋体"/>
                <w:b w:val="0"/>
                <w:bCs/>
                <w:color w:val="000000"/>
                <w:sz w:val="21"/>
                <w:szCs w:val="21"/>
                <w:lang w:val="en-US"/>
              </w:rPr>
              <w:t>收购深圳惠泰医疗器械股份有限公司（“惠泰”）共计24.61%股份</w:t>
            </w:r>
            <w:r>
              <w:rPr>
                <w:rFonts w:hint="eastAsia" w:eastAsia="宋体"/>
                <w:b w:val="0"/>
                <w:bCs/>
                <w:color w:val="000000"/>
                <w:sz w:val="21"/>
                <w:szCs w:val="21"/>
                <w:lang w:val="en-US"/>
              </w:rPr>
              <w:t>。</w:t>
            </w:r>
            <w:r>
              <w:rPr>
                <w:rFonts w:eastAsia="宋体"/>
                <w:b w:val="0"/>
                <w:bCs/>
                <w:color w:val="000000"/>
                <w:sz w:val="21"/>
                <w:szCs w:val="21"/>
                <w:lang w:val="en-US"/>
              </w:rPr>
              <w:t>惠泰</w:t>
            </w:r>
            <w:r>
              <w:rPr>
                <w:rFonts w:hint="eastAsia" w:eastAsia="宋体"/>
                <w:b w:val="0"/>
                <w:bCs/>
                <w:color w:val="000000"/>
                <w:sz w:val="21"/>
                <w:szCs w:val="21"/>
                <w:lang w:val="en-US"/>
              </w:rPr>
              <w:t>主要从事电生理和介入类医疗器械的研发、生产和销售业务。交易前，惠泰创始人及其一致行动人合计持有惠泰3</w:t>
            </w:r>
            <w:r>
              <w:rPr>
                <w:rFonts w:eastAsia="宋体"/>
                <w:b w:val="0"/>
                <w:bCs/>
                <w:color w:val="000000"/>
                <w:sz w:val="21"/>
                <w:szCs w:val="21"/>
                <w:lang w:val="en-US"/>
              </w:rPr>
              <w:t>2.46</w:t>
            </w:r>
            <w:r>
              <w:rPr>
                <w:rFonts w:hint="eastAsia" w:eastAsia="宋体"/>
                <w:b w:val="0"/>
                <w:bCs/>
                <w:color w:val="000000"/>
                <w:sz w:val="21"/>
                <w:szCs w:val="21"/>
                <w:lang w:val="en-US"/>
              </w:rPr>
              <w:t>%的股份，单独控制惠泰。交易后，迈瑞将间接持有惠泰2</w:t>
            </w:r>
            <w:r>
              <w:rPr>
                <w:rFonts w:eastAsia="宋体"/>
                <w:b w:val="0"/>
                <w:bCs/>
                <w:color w:val="000000"/>
                <w:sz w:val="21"/>
                <w:szCs w:val="21"/>
                <w:lang w:val="en-US"/>
              </w:rPr>
              <w:t>4.61</w:t>
            </w:r>
            <w:r>
              <w:rPr>
                <w:rFonts w:hint="eastAsia" w:eastAsia="宋体"/>
                <w:b w:val="0"/>
                <w:bCs/>
                <w:color w:val="000000"/>
                <w:sz w:val="21"/>
                <w:szCs w:val="21"/>
                <w:lang w:val="en-US"/>
              </w:rPr>
              <w:t>%的股份，单独控制惠泰。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restart"/>
            <w:shd w:val="clear" w:color="auto" w:fill="D9D9D9"/>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参与集中的经营者简介（每个限100字以内）</w:t>
            </w:r>
          </w:p>
        </w:tc>
        <w:tc>
          <w:tcPr>
            <w:tcW w:w="1607" w:type="dxa"/>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1.</w:t>
            </w:r>
            <w:r>
              <w:rPr>
                <w:rFonts w:hint="eastAsia" w:ascii="Times New Roman" w:hAnsi="Times New Roman" w:eastAsia="宋体" w:cs="Times New Roman"/>
                <w:bCs/>
                <w:color w:val="000000"/>
                <w:kern w:val="2"/>
                <w:sz w:val="21"/>
                <w:szCs w:val="21"/>
                <w:lang w:val="en-US" w:eastAsia="zh-CN" w:bidi="ar-SA"/>
              </w:rPr>
              <w:t xml:space="preserve"> 迈瑞</w:t>
            </w:r>
            <w:r>
              <w:rPr>
                <w:rFonts w:ascii="Times New Roman" w:hAnsi="Times New Roman" w:eastAsia="宋体" w:cs="Times New Roman"/>
                <w:bCs/>
                <w:color w:val="000000"/>
                <w:kern w:val="2"/>
                <w:sz w:val="21"/>
                <w:szCs w:val="21"/>
                <w:lang w:val="en-US" w:eastAsia="zh-CN" w:bidi="ar-SA"/>
              </w:rPr>
              <w:t xml:space="preserve"> </w:t>
            </w:r>
          </w:p>
        </w:tc>
        <w:tc>
          <w:tcPr>
            <w:tcW w:w="6093" w:type="dxa"/>
            <w:noWrap w:val="0"/>
            <w:vAlign w:val="center"/>
          </w:tcPr>
          <w:p>
            <w:pPr>
              <w:adjustRightInd w:val="0"/>
              <w:snapToGrid w:val="0"/>
              <w:spacing w:after="0"/>
              <w:rPr>
                <w:rFonts w:eastAsia="宋体"/>
                <w:sz w:val="21"/>
                <w:szCs w:val="21"/>
                <w:lang w:val="en-US"/>
              </w:rPr>
            </w:pPr>
            <w:r>
              <w:rPr>
                <w:rFonts w:hint="eastAsia" w:eastAsia="宋体"/>
                <w:sz w:val="21"/>
                <w:szCs w:val="21"/>
                <w:lang w:val="en-US"/>
              </w:rPr>
              <w:t>迈瑞于1999年1月25日成立于广东省深圳市，为深圳证券交易所上市公司，主要业务为医疗器械的研发、制造、销售及提供产品售后服务。</w:t>
            </w:r>
          </w:p>
          <w:p>
            <w:pPr>
              <w:adjustRightInd w:val="0"/>
              <w:snapToGrid w:val="0"/>
              <w:spacing w:after="0"/>
              <w:rPr>
                <w:rFonts w:hint="eastAsia" w:ascii="宋体" w:hAnsi="宋体" w:eastAsia="宋体" w:cs="宋体"/>
                <w:sz w:val="21"/>
                <w:szCs w:val="21"/>
              </w:rPr>
            </w:pPr>
            <w:r>
              <w:rPr>
                <w:rFonts w:hint="eastAsia" w:eastAsia="宋体"/>
                <w:sz w:val="21"/>
                <w:szCs w:val="21"/>
                <w:lang w:val="en-US"/>
              </w:rPr>
              <w:t>迈瑞的最终控制人为自然人，主要业务为医疗器械的研发、制造、销售及提供产品售后服务。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940" w:type="dxa"/>
            <w:vMerge w:val="continue"/>
            <w:shd w:val="clear" w:color="auto" w:fill="D9D9D9"/>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p>
        </w:tc>
        <w:tc>
          <w:tcPr>
            <w:tcW w:w="1607" w:type="dxa"/>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 xml:space="preserve">2. </w:t>
            </w:r>
            <w:r>
              <w:rPr>
                <w:rFonts w:hint="eastAsia" w:ascii="Times New Roman" w:hAnsi="Times New Roman" w:eastAsia="宋体" w:cs="Times New Roman"/>
                <w:bCs/>
                <w:color w:val="000000"/>
                <w:kern w:val="2"/>
                <w:sz w:val="21"/>
                <w:szCs w:val="21"/>
                <w:lang w:val="en-US" w:eastAsia="zh-CN" w:bidi="ar-SA"/>
              </w:rPr>
              <w:t>惠泰</w:t>
            </w:r>
            <w:r>
              <w:rPr>
                <w:rFonts w:ascii="Times New Roman" w:hAnsi="Times New Roman" w:eastAsia="宋体" w:cs="Times New Roman"/>
                <w:bCs/>
                <w:color w:val="000000"/>
                <w:kern w:val="2"/>
                <w:sz w:val="21"/>
                <w:szCs w:val="21"/>
                <w:lang w:val="en-US" w:eastAsia="zh-CN" w:bidi="ar-SA"/>
              </w:rPr>
              <w:t xml:space="preserve"> </w:t>
            </w:r>
          </w:p>
        </w:tc>
        <w:tc>
          <w:tcPr>
            <w:tcW w:w="6093" w:type="dxa"/>
            <w:noWrap w:val="0"/>
            <w:vAlign w:val="center"/>
          </w:tcPr>
          <w:p>
            <w:pPr>
              <w:adjustRightInd w:val="0"/>
              <w:snapToGrid w:val="0"/>
              <w:spacing w:after="0"/>
              <w:rPr>
                <w:rFonts w:eastAsia="宋体"/>
                <w:sz w:val="21"/>
                <w:szCs w:val="21"/>
                <w:lang w:val="en-US"/>
              </w:rPr>
            </w:pPr>
            <w:r>
              <w:rPr>
                <w:rFonts w:hint="eastAsia" w:eastAsia="宋体"/>
                <w:bCs/>
                <w:color w:val="000000"/>
                <w:sz w:val="21"/>
                <w:szCs w:val="21"/>
                <w:lang w:val="en-US"/>
              </w:rPr>
              <w:t>惠泰于2002年6月17日成立于</w:t>
            </w:r>
            <w:r>
              <w:rPr>
                <w:rFonts w:hint="eastAsia" w:eastAsia="宋体"/>
                <w:sz w:val="21"/>
                <w:szCs w:val="21"/>
                <w:lang w:val="en-US"/>
              </w:rPr>
              <w:t>广东省深圳市，为上海证券交易所上市公司，主要业务为电生理和介入类医疗器械的研发、生产和销售。</w:t>
            </w:r>
          </w:p>
          <w:p>
            <w:pPr>
              <w:adjustRightInd w:val="0"/>
              <w:snapToGrid w:val="0"/>
              <w:spacing w:after="0"/>
              <w:rPr>
                <w:rFonts w:hint="eastAsia" w:ascii="宋体" w:hAnsi="宋体" w:eastAsia="宋体" w:cs="宋体"/>
                <w:sz w:val="21"/>
                <w:szCs w:val="21"/>
                <w:lang w:val="en-US" w:eastAsia="zh-CN"/>
              </w:rPr>
            </w:pPr>
            <w:r>
              <w:rPr>
                <w:rFonts w:hint="eastAsia" w:eastAsia="宋体"/>
                <w:sz w:val="21"/>
                <w:szCs w:val="21"/>
                <w:lang w:val="en-US"/>
              </w:rPr>
              <w:t>惠泰的最终控制人为自然人，主要业务为电生理和介入类医疗器械的研发、生产和销售。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940" w:type="dxa"/>
            <w:vMerge w:val="restart"/>
            <w:shd w:val="clear" w:color="auto" w:fill="D9D9D9"/>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简易案件理由（可以单选，也可以多选）</w:t>
            </w:r>
          </w:p>
        </w:tc>
        <w:tc>
          <w:tcPr>
            <w:tcW w:w="7700" w:type="dxa"/>
            <w:gridSpan w:val="2"/>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sym w:font="Wingdings" w:char="00A8"/>
            </w:r>
            <w:r>
              <w:rPr>
                <w:rFonts w:ascii="Times New Roman" w:hAnsi="Times New Roman" w:eastAsia="宋体" w:cs="Times New Roman"/>
                <w:bCs/>
                <w:color w:val="000000"/>
                <w:kern w:val="2"/>
                <w:sz w:val="21"/>
                <w:szCs w:val="21"/>
                <w:lang w:val="en-US" w:eastAsia="zh-CN" w:bidi="ar-SA"/>
              </w:rP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40" w:type="dxa"/>
            <w:vMerge w:val="continue"/>
            <w:shd w:val="clear" w:color="auto" w:fill="D9D9D9"/>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p>
        </w:tc>
        <w:tc>
          <w:tcPr>
            <w:tcW w:w="7700" w:type="dxa"/>
            <w:gridSpan w:val="2"/>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sym w:font="Wingdings" w:char="00A8"/>
            </w:r>
            <w:r>
              <w:rPr>
                <w:rFonts w:ascii="Times New Roman" w:hAnsi="Times New Roman" w:eastAsia="宋体" w:cs="Times New Roman"/>
                <w:bCs/>
                <w:color w:val="000000"/>
                <w:kern w:val="2"/>
                <w:sz w:val="21"/>
                <w:szCs w:val="21"/>
                <w:lang w:val="en-US" w:eastAsia="zh-CN" w:bidi="ar-SA"/>
              </w:rP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40" w:type="dxa"/>
            <w:vMerge w:val="continue"/>
            <w:shd w:val="clear" w:color="auto" w:fill="D9D9D9"/>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p>
        </w:tc>
        <w:tc>
          <w:tcPr>
            <w:tcW w:w="7700" w:type="dxa"/>
            <w:gridSpan w:val="2"/>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sym w:font="Wingdings" w:char="00FE"/>
            </w:r>
            <w:r>
              <w:rPr>
                <w:rFonts w:ascii="Times New Roman" w:hAnsi="Times New Roman" w:eastAsia="宋体" w:cs="Times New Roman"/>
                <w:bCs/>
                <w:color w:val="000000"/>
                <w:kern w:val="2"/>
                <w:sz w:val="21"/>
                <w:szCs w:val="21"/>
                <w:lang w:val="en-US" w:eastAsia="zh-CN" w:bidi="ar-SA"/>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40" w:type="dxa"/>
            <w:vMerge w:val="continue"/>
            <w:shd w:val="clear" w:color="auto" w:fill="D9D9D9"/>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p>
        </w:tc>
        <w:tc>
          <w:tcPr>
            <w:tcW w:w="7700" w:type="dxa"/>
            <w:gridSpan w:val="2"/>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sym w:font="Wingdings" w:char="00A8"/>
            </w:r>
            <w:r>
              <w:rPr>
                <w:rFonts w:ascii="Times New Roman" w:hAnsi="Times New Roman" w:eastAsia="宋体" w:cs="Times New Roman"/>
                <w:bCs/>
                <w:color w:val="000000"/>
                <w:kern w:val="2"/>
                <w:sz w:val="21"/>
                <w:szCs w:val="21"/>
                <w:lang w:val="en-US" w:eastAsia="zh-CN" w:bidi="ar-SA"/>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40" w:type="dxa"/>
            <w:vMerge w:val="continue"/>
            <w:shd w:val="clear" w:color="auto" w:fill="D9D9D9"/>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p>
        </w:tc>
        <w:tc>
          <w:tcPr>
            <w:tcW w:w="7700" w:type="dxa"/>
            <w:gridSpan w:val="2"/>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sym w:font="Wingdings" w:char="00A8"/>
            </w:r>
            <w:r>
              <w:rPr>
                <w:rFonts w:ascii="Times New Roman" w:hAnsi="Times New Roman" w:eastAsia="宋体" w:cs="Times New Roman"/>
                <w:bCs/>
                <w:color w:val="000000"/>
                <w:kern w:val="2"/>
                <w:sz w:val="21"/>
                <w:szCs w:val="21"/>
                <w:lang w:val="en-US" w:eastAsia="zh-CN" w:bidi="ar-SA"/>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40" w:type="dxa"/>
            <w:vMerge w:val="continue"/>
            <w:shd w:val="clear" w:color="auto" w:fill="D9D9D9"/>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p>
        </w:tc>
        <w:tc>
          <w:tcPr>
            <w:tcW w:w="7700" w:type="dxa"/>
            <w:gridSpan w:val="2"/>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sym w:font="Wingdings" w:char="00A8"/>
            </w:r>
            <w:r>
              <w:rPr>
                <w:rFonts w:ascii="Times New Roman" w:hAnsi="Times New Roman" w:eastAsia="宋体" w:cs="Times New Roman"/>
                <w:bCs/>
                <w:color w:val="000000"/>
                <w:kern w:val="2"/>
                <w:sz w:val="21"/>
                <w:szCs w:val="21"/>
                <w:lang w:val="en-US" w:eastAsia="zh-CN" w:bidi="ar-SA"/>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940" w:type="dxa"/>
            <w:shd w:val="clear" w:color="auto" w:fill="D9D9D9"/>
            <w:noWrap w:val="0"/>
            <w:vAlign w:val="center"/>
          </w:tcPr>
          <w:p>
            <w:pPr>
              <w:widowControl w:val="0"/>
              <w:adjustRightInd w:val="0"/>
              <w:snapToGrid w:val="0"/>
              <w:spacing w:after="0"/>
              <w:jc w:val="both"/>
              <w:rPr>
                <w:rFonts w:hint="eastAsia" w:ascii="宋体" w:hAnsi="宋体" w:eastAsia="宋体" w:cs="宋体"/>
                <w:kern w:val="2"/>
                <w:sz w:val="21"/>
                <w:szCs w:val="21"/>
                <w:lang w:val="en-US" w:eastAsia="zh-CN" w:bidi="ar-SA"/>
              </w:rPr>
            </w:pPr>
            <w:r>
              <w:rPr>
                <w:rFonts w:ascii="Times New Roman" w:hAnsi="Times New Roman" w:eastAsia="宋体" w:cs="Times New Roman"/>
                <w:bCs/>
                <w:color w:val="000000"/>
                <w:kern w:val="2"/>
                <w:sz w:val="21"/>
                <w:szCs w:val="21"/>
                <w:lang w:val="en-US" w:eastAsia="zh-CN" w:bidi="ar-SA"/>
              </w:rPr>
              <w:t>备注</w:t>
            </w:r>
          </w:p>
        </w:tc>
        <w:tc>
          <w:tcPr>
            <w:tcW w:w="7700" w:type="dxa"/>
            <w:gridSpan w:val="2"/>
            <w:noWrap w:val="0"/>
            <w:vAlign w:val="center"/>
          </w:tcPr>
          <w:p>
            <w:pPr>
              <w:widowControl w:val="0"/>
              <w:adjustRightInd w:val="0"/>
              <w:snapToGrid w:val="0"/>
              <w:spacing w:after="0"/>
              <w:jc w:val="both"/>
              <w:rPr>
                <w:rFonts w:ascii="Times New Roman" w:hAnsi="Times New Roman" w:eastAsia="宋体" w:cs="Times New Roman"/>
                <w:b/>
                <w:color w:val="000000"/>
                <w:kern w:val="2"/>
                <w:sz w:val="21"/>
                <w:szCs w:val="21"/>
                <w:lang w:val="en-US" w:eastAsia="zh-CN" w:bidi="ar-SA"/>
              </w:rPr>
            </w:pPr>
            <w:r>
              <w:rPr>
                <w:rFonts w:hint="eastAsia" w:ascii="Times New Roman" w:hAnsi="Times New Roman" w:eastAsia="宋体" w:cs="Times New Roman"/>
                <w:b/>
                <w:color w:val="000000"/>
                <w:kern w:val="2"/>
                <w:sz w:val="21"/>
                <w:szCs w:val="21"/>
                <w:lang w:val="en-US" w:eastAsia="zh-CN" w:bidi="ar-SA"/>
              </w:rPr>
              <w:t>混合集中</w:t>
            </w:r>
            <w:r>
              <w:rPr>
                <w:rFonts w:ascii="Times New Roman" w:hAnsi="Times New Roman" w:eastAsia="宋体" w:cs="Times New Roman"/>
                <w:b/>
                <w:color w:val="000000"/>
                <w:kern w:val="2"/>
                <w:sz w:val="21"/>
                <w:szCs w:val="21"/>
                <w:lang w:val="en-US" w:eastAsia="zh-CN" w:bidi="ar-SA"/>
              </w:rPr>
              <w:t>：</w:t>
            </w:r>
          </w:p>
          <w:p>
            <w:pPr>
              <w:widowControl w:val="0"/>
              <w:adjustRightInd w:val="0"/>
              <w:snapToGrid w:val="0"/>
              <w:spacing w:after="0"/>
              <w:jc w:val="both"/>
              <w:rPr>
                <w:rFonts w:ascii="Times New Roman" w:hAnsi="Times New Roman" w:eastAsia="宋体" w:cs="Times New Roman"/>
                <w:b w:val="0"/>
                <w:bCs w:val="0"/>
                <w:color w:val="000000"/>
                <w:kern w:val="2"/>
                <w:sz w:val="21"/>
                <w:szCs w:val="21"/>
                <w:lang w:val="en-US" w:eastAsia="zh-CN" w:bidi="ar-SA"/>
              </w:rPr>
            </w:pPr>
            <w:r>
              <w:rPr>
                <w:rFonts w:hint="eastAsia" w:ascii="Times New Roman" w:hAnsi="Times New Roman" w:eastAsia="宋体" w:cs="Times New Roman"/>
                <w:b w:val="0"/>
                <w:bCs w:val="0"/>
                <w:color w:val="000000"/>
                <w:kern w:val="2"/>
                <w:sz w:val="21"/>
                <w:szCs w:val="21"/>
                <w:lang w:val="en-US" w:eastAsia="zh-CN" w:bidi="ar-SA"/>
              </w:rPr>
              <w:t>2022年中国境内电生理医疗器械产品市场</w:t>
            </w:r>
          </w:p>
          <w:p>
            <w:pPr>
              <w:widowControl w:val="0"/>
              <w:adjustRightInd w:val="0"/>
              <w:snapToGrid w:val="0"/>
              <w:spacing w:after="0"/>
              <w:jc w:val="both"/>
              <w:rPr>
                <w:rFonts w:ascii="Times New Roman" w:hAnsi="Times New Roman" w:eastAsia="宋体" w:cs="Times New Roman"/>
                <w:b w:val="0"/>
                <w:bCs w:val="0"/>
                <w:color w:val="000000"/>
                <w:kern w:val="2"/>
                <w:sz w:val="21"/>
                <w:szCs w:val="21"/>
                <w:lang w:val="en-US" w:eastAsia="zh-CN" w:bidi="ar-SA"/>
              </w:rPr>
            </w:pPr>
            <w:r>
              <w:rPr>
                <w:rFonts w:hint="eastAsia" w:ascii="Times New Roman" w:hAnsi="Times New Roman" w:eastAsia="宋体" w:cs="Times New Roman"/>
                <w:b w:val="0"/>
                <w:bCs w:val="0"/>
                <w:color w:val="000000"/>
                <w:kern w:val="2"/>
                <w:sz w:val="21"/>
                <w:szCs w:val="21"/>
                <w:lang w:val="en-US" w:eastAsia="zh-CN" w:bidi="ar-SA"/>
              </w:rPr>
              <w:t>惠泰：</w:t>
            </w:r>
            <w:r>
              <w:rPr>
                <w:rFonts w:ascii="Times New Roman" w:hAnsi="Times New Roman" w:eastAsia="宋体" w:cs="Times New Roman"/>
                <w:b w:val="0"/>
                <w:bCs w:val="0"/>
                <w:color w:val="000000"/>
                <w:kern w:val="2"/>
                <w:sz w:val="21"/>
                <w:szCs w:val="21"/>
                <w:lang w:val="en-US" w:eastAsia="zh-CN" w:bidi="ar-SA"/>
              </w:rPr>
              <w:t xml:space="preserve"> 0-5%</w:t>
            </w:r>
          </w:p>
          <w:p>
            <w:pPr>
              <w:widowControl w:val="0"/>
              <w:adjustRightInd w:val="0"/>
              <w:snapToGrid w:val="0"/>
              <w:spacing w:after="0"/>
              <w:jc w:val="both"/>
              <w:rPr>
                <w:rFonts w:ascii="Times New Roman" w:hAnsi="Times New Roman" w:eastAsia="宋体" w:cs="Times New Roman"/>
                <w:b w:val="0"/>
                <w:bCs w:val="0"/>
                <w:color w:val="000000"/>
                <w:kern w:val="2"/>
                <w:sz w:val="21"/>
                <w:szCs w:val="21"/>
                <w:lang w:val="en-US" w:eastAsia="zh-CN" w:bidi="ar-SA"/>
              </w:rPr>
            </w:pPr>
            <w:r>
              <w:rPr>
                <w:rFonts w:hint="eastAsia" w:ascii="Times New Roman" w:hAnsi="Times New Roman" w:eastAsia="宋体" w:cs="Times New Roman"/>
                <w:b w:val="0"/>
                <w:bCs w:val="0"/>
                <w:color w:val="000000"/>
                <w:kern w:val="2"/>
                <w:sz w:val="21"/>
                <w:szCs w:val="21"/>
                <w:lang w:val="en-US" w:eastAsia="zh-CN" w:bidi="ar-SA"/>
              </w:rPr>
              <w:t>2022年中国境内血管介入类医疗器械产品市场</w:t>
            </w:r>
          </w:p>
          <w:p>
            <w:pPr>
              <w:widowControl w:val="0"/>
              <w:adjustRightInd w:val="0"/>
              <w:snapToGrid w:val="0"/>
              <w:spacing w:after="0"/>
              <w:jc w:val="both"/>
              <w:rPr>
                <w:rFonts w:hint="eastAsia" w:ascii="宋体" w:hAnsi="宋体" w:eastAsia="宋体" w:cs="宋体"/>
                <w:kern w:val="2"/>
                <w:sz w:val="21"/>
                <w:szCs w:val="21"/>
                <w:lang w:val="en-US" w:eastAsia="zh-CN" w:bidi="ar-SA"/>
              </w:rPr>
            </w:pPr>
            <w:r>
              <w:rPr>
                <w:rFonts w:hint="eastAsia" w:ascii="Times New Roman" w:hAnsi="Times New Roman" w:eastAsia="宋体" w:cs="Times New Roman"/>
                <w:b w:val="0"/>
                <w:bCs w:val="0"/>
                <w:color w:val="000000"/>
                <w:kern w:val="2"/>
                <w:sz w:val="21"/>
                <w:szCs w:val="21"/>
                <w:lang w:val="en-US" w:eastAsia="zh-CN" w:bidi="ar-SA"/>
              </w:rPr>
              <w:t>惠泰：</w:t>
            </w:r>
            <w:r>
              <w:rPr>
                <w:rFonts w:ascii="Times New Roman" w:hAnsi="Times New Roman" w:eastAsia="宋体" w:cs="Times New Roman"/>
                <w:b w:val="0"/>
                <w:bCs w:val="0"/>
                <w:color w:val="000000"/>
                <w:kern w:val="2"/>
                <w:sz w:val="21"/>
                <w:szCs w:val="21"/>
                <w:lang w:val="en-US" w:eastAsia="zh-CN" w:bidi="ar-SA"/>
              </w:rPr>
              <w:t xml:space="preserve"> 0-5%</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CC19D4"/>
    <w:rsid w:val="43CC1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2024-02-21T06:45:00Z</dcterms:created>
  <dc:creator>胡翌婧</dc:creator>
  <cp:lastModifiedBy>胡翌婧</cp:lastModifiedBy>
  <dcterms:modified xsi:type="dcterms:W3CDTF">2024-02-21T06:45:22Z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16AD64CADBE544B987C89117512BF8A5</vt:lpwstr>
  </property>
</Properties>
</file>