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jc w:val="center"/>
        <w:rPr>
          <w:rFonts w:hint="eastAsia" w:ascii="方正小标宋简体" w:hAnsi="方正小标宋简体" w:eastAsia="方正小标宋简体" w:cs="方正小标宋简体"/>
          <w:bCs/>
          <w:kern w:val="0"/>
          <w:sz w:val="44"/>
          <w:szCs w:val="44"/>
          <w:lang w:val="en-GB" w:bidi="ar-AE"/>
        </w:rPr>
      </w:pPr>
      <w:bookmarkStart w:id="0" w:name="_GoBack"/>
      <w:r>
        <w:rPr>
          <w:rFonts w:hint="eastAsia" w:ascii="方正小标宋简体" w:hAnsi="方正小标宋简体" w:eastAsia="方正小标宋简体" w:cs="方正小标宋简体"/>
          <w:bCs/>
          <w:kern w:val="0"/>
          <w:sz w:val="44"/>
          <w:szCs w:val="44"/>
          <w:lang w:val="en-GB" w:bidi="ar-AE"/>
        </w:rPr>
        <w:t>经营者集中简易案件公示表</w:t>
      </w:r>
    </w:p>
    <w:bookmarkEnd w:id="0"/>
    <w:tbl>
      <w:tblPr>
        <w:tblStyle w:val="4"/>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40"/>
        <w:gridCol w:w="1607"/>
        <w:gridCol w:w="60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1940" w:type="dxa"/>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rPr>
            </w:pPr>
            <w:r>
              <w:rPr>
                <w:rFonts w:hint="default" w:ascii="Times New Roman" w:hAnsi="Times New Roman" w:eastAsia="宋体" w:cs="Times New Roman"/>
                <w:bCs/>
                <w:color w:val="000000"/>
                <w:sz w:val="24"/>
              </w:rPr>
              <w:t>案件名称</w:t>
            </w:r>
          </w:p>
        </w:tc>
        <w:tc>
          <w:tcPr>
            <w:tcW w:w="7700" w:type="dxa"/>
            <w:gridSpan w:val="2"/>
            <w:noWrap w:val="0"/>
            <w:vAlign w:val="center"/>
          </w:tcPr>
          <w:p>
            <w:pPr>
              <w:adjustRightInd w:val="0"/>
              <w:snapToGrid w:val="0"/>
              <w:spacing w:after="0"/>
              <w:rPr>
                <w:rFonts w:hint="default" w:ascii="Times New Roman" w:hAnsi="Times New Roman" w:eastAsia="宋体" w:cs="Times New Roman"/>
                <w:bCs/>
                <w:color w:val="000000"/>
                <w:sz w:val="24"/>
                <w:lang w:val="en-US"/>
              </w:rPr>
            </w:pPr>
            <w:r>
              <w:rPr>
                <w:rFonts w:hint="default" w:ascii="Times New Roman" w:hAnsi="Times New Roman" w:eastAsia="宋体" w:cs="Times New Roman"/>
                <w:bCs/>
                <w:color w:val="000000"/>
                <w:sz w:val="24"/>
                <w:lang w:val="en-US"/>
              </w:rPr>
              <w:t>海南海控产业投资有限公司收购浙江华铁应急设备科技股份有限公司股权案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1" w:hRule="atLeast"/>
          <w:jc w:val="center"/>
        </w:trPr>
        <w:tc>
          <w:tcPr>
            <w:tcW w:w="1940" w:type="dxa"/>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t>交易概况（限200字内）</w:t>
            </w:r>
          </w:p>
        </w:tc>
        <w:tc>
          <w:tcPr>
            <w:tcW w:w="7700" w:type="dxa"/>
            <w:gridSpan w:val="2"/>
            <w:noWrap w:val="0"/>
            <w:vAlign w:val="center"/>
          </w:tcPr>
          <w:p>
            <w:pPr>
              <w:widowControl w:val="0"/>
              <w:adjustRightInd w:val="0"/>
              <w:snapToGrid w:val="0"/>
              <w:spacing w:after="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lang w:val="en-US"/>
              </w:rPr>
              <w:t>海南海控产业投资有限公司（简称“海控产投”）与胡丹锋、浙江华铁大黄蜂控股有限公司等</w:t>
            </w:r>
            <w:r>
              <w:rPr>
                <w:rFonts w:hint="default" w:ascii="Times New Roman" w:hAnsi="Times New Roman" w:eastAsia="宋体" w:cs="Times New Roman"/>
                <w:sz w:val="24"/>
              </w:rPr>
              <w:t>签署协议，</w:t>
            </w:r>
            <w:r>
              <w:rPr>
                <w:rFonts w:hint="default" w:ascii="Times New Roman" w:hAnsi="Times New Roman" w:eastAsia="宋体" w:cs="Times New Roman"/>
                <w:bCs/>
                <w:color w:val="000000"/>
                <w:sz w:val="24"/>
                <w:lang w:val="en-US"/>
              </w:rPr>
              <w:t>海控产投收购浙江华铁应急设备科技股份有限公司（简称“华铁应急”）共计14.01%股份。华铁应急主要从事建筑支护设备租赁、高空作业平台及地下维修维护设备等各类工程设备租赁与服务等业务。</w:t>
            </w:r>
            <w:r>
              <w:rPr>
                <w:rFonts w:hint="default" w:ascii="Times New Roman" w:hAnsi="Times New Roman" w:eastAsia="宋体" w:cs="Times New Roman"/>
                <w:sz w:val="24"/>
              </w:rPr>
              <w:t>交易前，</w:t>
            </w:r>
            <w:r>
              <w:rPr>
                <w:rFonts w:hint="default" w:ascii="Times New Roman" w:hAnsi="Times New Roman" w:eastAsia="宋体" w:cs="Times New Roman"/>
                <w:bCs/>
                <w:color w:val="000000"/>
                <w:sz w:val="24"/>
                <w:lang w:val="en-US"/>
              </w:rPr>
              <w:t>胡丹锋</w:t>
            </w:r>
            <w:r>
              <w:rPr>
                <w:rFonts w:hint="default" w:ascii="Times New Roman" w:hAnsi="Times New Roman" w:eastAsia="宋体" w:cs="Times New Roman"/>
                <w:sz w:val="24"/>
              </w:rPr>
              <w:t>单独控制</w:t>
            </w:r>
            <w:r>
              <w:rPr>
                <w:rFonts w:hint="default" w:ascii="Times New Roman" w:hAnsi="Times New Roman" w:eastAsia="宋体" w:cs="Times New Roman"/>
                <w:bCs/>
                <w:color w:val="000000"/>
                <w:sz w:val="24"/>
                <w:lang w:val="en-US"/>
              </w:rPr>
              <w:t>华铁应急</w:t>
            </w:r>
            <w:r>
              <w:rPr>
                <w:rFonts w:hint="default" w:ascii="Times New Roman" w:hAnsi="Times New Roman" w:eastAsia="宋体" w:cs="Times New Roman"/>
                <w:sz w:val="24"/>
              </w:rPr>
              <w:t>。交易后，</w:t>
            </w:r>
            <w:r>
              <w:rPr>
                <w:rFonts w:hint="default" w:ascii="Times New Roman" w:hAnsi="Times New Roman" w:eastAsia="宋体" w:cs="Times New Roman"/>
                <w:bCs/>
                <w:color w:val="000000"/>
                <w:sz w:val="24"/>
                <w:lang w:val="en-US"/>
              </w:rPr>
              <w:t>海控产投</w:t>
            </w:r>
            <w:r>
              <w:rPr>
                <w:rFonts w:hint="default" w:ascii="Times New Roman" w:hAnsi="Times New Roman" w:eastAsia="宋体" w:cs="Times New Roman"/>
                <w:sz w:val="24"/>
              </w:rPr>
              <w:t>能够通过对</w:t>
            </w:r>
            <w:r>
              <w:rPr>
                <w:rFonts w:hint="default" w:ascii="Times New Roman" w:hAnsi="Times New Roman" w:eastAsia="宋体" w:cs="Times New Roman"/>
                <w:bCs/>
                <w:color w:val="000000"/>
                <w:sz w:val="24"/>
                <w:lang w:val="en-US"/>
              </w:rPr>
              <w:t>华铁应急</w:t>
            </w:r>
            <w:r>
              <w:rPr>
                <w:rFonts w:hint="default" w:ascii="Times New Roman" w:hAnsi="Times New Roman" w:eastAsia="宋体" w:cs="Times New Roman"/>
                <w:sz w:val="24"/>
              </w:rPr>
              <w:t>董事会的控制，</w:t>
            </w:r>
            <w:r>
              <w:rPr>
                <w:rFonts w:hint="default" w:ascii="Times New Roman" w:hAnsi="Times New Roman" w:eastAsia="宋体" w:cs="Times New Roman"/>
                <w:bCs/>
                <w:color w:val="000000"/>
                <w:sz w:val="24"/>
                <w:lang w:val="en-US"/>
              </w:rPr>
              <w:t>取得对华铁应急的控制权</w:t>
            </w:r>
            <w:r>
              <w:rPr>
                <w:rFonts w:hint="default" w:ascii="Times New Roman" w:hAnsi="Times New Roman" w:eastAsia="宋体" w:cs="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940" w:type="dxa"/>
            <w:vMerge w:val="restart"/>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t>参与集中的经营者简介（每个限</w:t>
            </w:r>
            <w:r>
              <w:rPr>
                <w:rFonts w:hint="default" w:ascii="Times New Roman" w:hAnsi="Times New Roman" w:eastAsia="宋体" w:cs="Times New Roman"/>
                <w:bCs/>
                <w:color w:val="000000"/>
                <w:sz w:val="24"/>
                <w:lang w:val="en-US" w:eastAsia="zh-CN"/>
              </w:rPr>
              <w:t>100字以内</w:t>
            </w:r>
            <w:r>
              <w:rPr>
                <w:rFonts w:hint="default" w:ascii="Times New Roman" w:hAnsi="Times New Roman" w:eastAsia="宋体" w:cs="Times New Roman"/>
                <w:bCs/>
                <w:color w:val="000000"/>
                <w:sz w:val="24"/>
                <w:lang w:eastAsia="zh-CN"/>
              </w:rPr>
              <w:t>）</w:t>
            </w:r>
          </w:p>
        </w:tc>
        <w:tc>
          <w:tcPr>
            <w:tcW w:w="1607" w:type="dxa"/>
            <w:noWrap w:val="0"/>
            <w:vAlign w:val="center"/>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val="en-US" w:eastAsia="zh-CN"/>
              </w:rPr>
              <w:t>1.</w:t>
            </w:r>
            <w:r>
              <w:rPr>
                <w:rFonts w:hint="default" w:ascii="Times New Roman" w:hAnsi="Times New Roman" w:eastAsia="宋体" w:cs="Times New Roman"/>
                <w:bCs/>
                <w:color w:val="000000"/>
                <w:sz w:val="24"/>
                <w:lang w:eastAsia="zh-CN"/>
              </w:rPr>
              <w:t>海控产投</w:t>
            </w:r>
          </w:p>
        </w:tc>
        <w:tc>
          <w:tcPr>
            <w:tcW w:w="6093" w:type="dxa"/>
            <w:noWrap w:val="0"/>
            <w:vAlign w:val="center"/>
          </w:tcPr>
          <w:p>
            <w:pPr>
              <w:widowControl w:val="0"/>
              <w:adjustRightInd w:val="0"/>
              <w:snapToGrid w:val="0"/>
              <w:spacing w:after="0"/>
              <w:rPr>
                <w:rFonts w:hint="default" w:ascii="Times New Roman" w:hAnsi="Times New Roman" w:eastAsia="宋体" w:cs="Times New Roman"/>
                <w:sz w:val="24"/>
                <w:lang w:val="en-US"/>
              </w:rPr>
            </w:pPr>
            <w:r>
              <w:rPr>
                <w:rFonts w:hint="default" w:ascii="Times New Roman" w:hAnsi="Times New Roman" w:eastAsia="宋体" w:cs="Times New Roman"/>
                <w:sz w:val="24"/>
                <w:lang w:val="en-US"/>
              </w:rPr>
              <w:t>海控产投于1995年12月25日成立于中国海南省，其主要业务是在中国境内从事基础设施建设投资、股权投资、资产管理及相关金融类业务等。</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sz w:val="24"/>
                <w:lang w:val="en-US" w:eastAsia="zh-CN"/>
              </w:rPr>
              <w:t>最终控制人为海南省发展控股有限公司，主要业务为发电、房地产开发、贸易及免税销售、幕墙工程及玻璃制造、机场等业务。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4" w:hRule="atLeast"/>
          <w:jc w:val="center"/>
        </w:trPr>
        <w:tc>
          <w:tcPr>
            <w:tcW w:w="1940" w:type="dxa"/>
            <w:vMerge w:val="continue"/>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p>
        </w:tc>
        <w:tc>
          <w:tcPr>
            <w:tcW w:w="1607" w:type="dxa"/>
            <w:noWrap w:val="0"/>
            <w:vAlign w:val="center"/>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val="en-US" w:eastAsia="zh-CN"/>
              </w:rPr>
              <w:t>2.</w:t>
            </w:r>
            <w:r>
              <w:rPr>
                <w:rFonts w:hint="default" w:ascii="Times New Roman" w:hAnsi="Times New Roman" w:eastAsia="宋体" w:cs="Times New Roman"/>
                <w:bCs/>
                <w:color w:val="000000"/>
                <w:sz w:val="24"/>
                <w:lang w:eastAsia="zh-CN"/>
              </w:rPr>
              <w:t>胡丹锋</w:t>
            </w:r>
          </w:p>
        </w:tc>
        <w:tc>
          <w:tcPr>
            <w:tcW w:w="6093" w:type="dxa"/>
            <w:noWrap w:val="0"/>
            <w:vAlign w:val="center"/>
          </w:tcPr>
          <w:p>
            <w:pPr>
              <w:adjustRightInd w:val="0"/>
              <w:snapToGrid w:val="0"/>
              <w:spacing w:after="0"/>
              <w:rPr>
                <w:rFonts w:hint="default" w:ascii="Times New Roman" w:hAnsi="Times New Roman" w:eastAsia="宋体" w:cs="Times New Roman"/>
                <w:bCs/>
                <w:color w:val="000000"/>
                <w:sz w:val="24"/>
              </w:rPr>
            </w:pPr>
            <w:r>
              <w:rPr>
                <w:rFonts w:hint="default" w:ascii="Times New Roman" w:hAnsi="Times New Roman" w:eastAsia="宋体" w:cs="Times New Roman"/>
                <w:bCs/>
                <w:color w:val="000000"/>
                <w:sz w:val="24"/>
                <w:lang w:val="en-US"/>
              </w:rPr>
              <w:t>主要从事建筑支护设备租赁、高空作业平台及地下维修维护设备等各类工程设备租赁与服务等业务。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1940" w:type="dxa"/>
            <w:vMerge w:val="restart"/>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t>简易案件理由（可以单选，也可以多选）</w:t>
            </w:r>
          </w:p>
        </w:tc>
        <w:tc>
          <w:tcPr>
            <w:tcW w:w="7700" w:type="dxa"/>
            <w:gridSpan w:val="2"/>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sym w:font="Wingdings" w:char="00A8"/>
            </w:r>
            <w:r>
              <w:rPr>
                <w:rFonts w:hint="default" w:ascii="Times New Roman" w:hAnsi="Times New Roman" w:eastAsia="宋体" w:cs="Times New Roman"/>
                <w:bCs/>
                <w:color w:val="000000"/>
                <w:sz w:val="24"/>
                <w:lang w:eastAsia="zh-CN"/>
              </w:rPr>
              <w:t xml:space="preserve"> 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940" w:type="dxa"/>
            <w:vMerge w:val="continue"/>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p>
        </w:tc>
        <w:tc>
          <w:tcPr>
            <w:tcW w:w="7700" w:type="dxa"/>
            <w:gridSpan w:val="2"/>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sym w:font="Wingdings" w:char="00FE"/>
            </w:r>
            <w:r>
              <w:rPr>
                <w:rFonts w:hint="default" w:ascii="Times New Roman" w:hAnsi="Times New Roman" w:eastAsia="宋体" w:cs="Times New Roman"/>
                <w:bCs/>
                <w:color w:val="000000"/>
                <w:sz w:val="24"/>
                <w:lang w:eastAsia="zh-CN"/>
              </w:rPr>
              <w:t xml:space="preserve"> 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940" w:type="dxa"/>
            <w:vMerge w:val="continue"/>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p>
        </w:tc>
        <w:tc>
          <w:tcPr>
            <w:tcW w:w="7700" w:type="dxa"/>
            <w:gridSpan w:val="2"/>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sym w:font="Wingdings" w:char="00A8"/>
            </w:r>
            <w:r>
              <w:rPr>
                <w:rFonts w:hint="default" w:ascii="Times New Roman" w:hAnsi="Times New Roman" w:eastAsia="宋体" w:cs="Times New Roman"/>
                <w:bCs/>
                <w:color w:val="000000"/>
                <w:sz w:val="24"/>
                <w:lang w:eastAsia="zh-CN"/>
              </w:rPr>
              <w:t xml:space="preserve">  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940" w:type="dxa"/>
            <w:vMerge w:val="continue"/>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p>
        </w:tc>
        <w:tc>
          <w:tcPr>
            <w:tcW w:w="7700" w:type="dxa"/>
            <w:gridSpan w:val="2"/>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sym w:font="Wingdings" w:char="00A8"/>
            </w:r>
            <w:r>
              <w:rPr>
                <w:rFonts w:hint="default" w:ascii="Times New Roman" w:hAnsi="Times New Roman" w:eastAsia="宋体" w:cs="Times New Roman"/>
                <w:bCs/>
                <w:color w:val="000000"/>
                <w:sz w:val="24"/>
                <w:lang w:eastAsia="zh-CN"/>
              </w:rPr>
              <w:t xml:space="preserve"> 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jc w:val="center"/>
        </w:trPr>
        <w:tc>
          <w:tcPr>
            <w:tcW w:w="1940" w:type="dxa"/>
            <w:vMerge w:val="continue"/>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p>
        </w:tc>
        <w:tc>
          <w:tcPr>
            <w:tcW w:w="7700" w:type="dxa"/>
            <w:gridSpan w:val="2"/>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sym w:font="Wingdings" w:char="00A8"/>
            </w:r>
            <w:r>
              <w:rPr>
                <w:rFonts w:hint="default" w:ascii="Times New Roman" w:hAnsi="Times New Roman" w:eastAsia="宋体" w:cs="Times New Roman"/>
                <w:bCs/>
                <w:color w:val="000000"/>
                <w:sz w:val="24"/>
                <w:lang w:eastAsia="zh-CN"/>
              </w:rPr>
              <w:t xml:space="preserve"> 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1940" w:type="dxa"/>
            <w:vMerge w:val="continue"/>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p>
        </w:tc>
        <w:tc>
          <w:tcPr>
            <w:tcW w:w="7700" w:type="dxa"/>
            <w:gridSpan w:val="2"/>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sym w:font="Wingdings" w:char="00A8"/>
            </w:r>
            <w:r>
              <w:rPr>
                <w:rFonts w:hint="default" w:ascii="Times New Roman" w:hAnsi="Times New Roman" w:eastAsia="宋体" w:cs="Times New Roman"/>
                <w:bCs/>
                <w:color w:val="000000"/>
                <w:sz w:val="24"/>
                <w:lang w:eastAsia="zh-CN"/>
              </w:rPr>
              <w:t xml:space="preserve"> 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1940" w:type="dxa"/>
            <w:shd w:val="clear" w:color="auto" w:fill="D9D9D9"/>
            <w:noWrap w:val="0"/>
            <w:vAlign w:val="center"/>
          </w:tcPr>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val="en-US" w:eastAsia="zh-CN"/>
              </w:rPr>
              <w:t>备注</w:t>
            </w:r>
          </w:p>
        </w:tc>
        <w:tc>
          <w:tcPr>
            <w:tcW w:w="7700" w:type="dxa"/>
            <w:gridSpan w:val="2"/>
            <w:noWrap w:val="0"/>
            <w:vAlign w:val="center"/>
          </w:tcPr>
          <w:p>
            <w:pPr>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纵向关联：</w:t>
            </w:r>
          </w:p>
          <w:tbl>
            <w:tblPr>
              <w:tblStyle w:val="5"/>
              <w:tblW w:w="499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161"/>
              <w:gridCol w:w="1788"/>
              <w:gridCol w:w="35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8" w:hRule="atLeast"/>
              </w:trPr>
              <w:tc>
                <w:tcPr>
                  <w:tcW w:w="1446"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相关商品市场</w:t>
                  </w:r>
                </w:p>
              </w:tc>
              <w:tc>
                <w:tcPr>
                  <w:tcW w:w="1196"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相关地域市场</w:t>
                  </w:r>
                </w:p>
              </w:tc>
              <w:tc>
                <w:tcPr>
                  <w:tcW w:w="2357"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2023年市场份额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67" w:hRule="atLeast"/>
              </w:trPr>
              <w:tc>
                <w:tcPr>
                  <w:tcW w:w="1446"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上游：高空作业平台租赁市场</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下游：房屋建筑工程施工市场</w:t>
                  </w:r>
                </w:p>
              </w:tc>
              <w:tc>
                <w:tcPr>
                  <w:tcW w:w="1196" w:type="pct"/>
                  <w:noWrap w:val="0"/>
                  <w:vAlign w:val="top"/>
                </w:tcPr>
                <w:p>
                  <w:pPr>
                    <w:pStyle w:val="3"/>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上游：中国境内</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下游：中国境内</w:t>
                  </w:r>
                </w:p>
              </w:tc>
              <w:tc>
                <w:tcPr>
                  <w:tcW w:w="2357"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上游：高空作业平台租赁市场</w:t>
                  </w:r>
                </w:p>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t>胡丹锋：</w:t>
                  </w:r>
                  <w:r>
                    <w:rPr>
                      <w:rFonts w:hint="default" w:ascii="Times New Roman" w:hAnsi="Times New Roman" w:eastAsia="宋体" w:cs="Times New Roman"/>
                      <w:bCs/>
                      <w:color w:val="000000"/>
                      <w:sz w:val="24"/>
                      <w:lang w:val="en-US" w:eastAsia="zh-CN"/>
                    </w:rPr>
                    <w:t>10%-15%</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下游：房屋建筑工程施工市场</w:t>
                  </w:r>
                </w:p>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t>海控产投：</w:t>
                  </w:r>
                  <w:r>
                    <w:rPr>
                      <w:rFonts w:hint="default" w:ascii="Times New Roman" w:hAnsi="Times New Roman" w:eastAsia="宋体" w:cs="Times New Roman"/>
                      <w:bCs/>
                      <w:color w:val="000000"/>
                      <w:sz w:val="24"/>
                      <w:lang w:val="en-US" w:eastAsia="zh-CN"/>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12" w:hRule="atLeast"/>
              </w:trPr>
              <w:tc>
                <w:tcPr>
                  <w:tcW w:w="1446"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上游：高空作业平台租赁市场</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下游：建筑幕墙工程市场</w:t>
                  </w:r>
                </w:p>
              </w:tc>
              <w:tc>
                <w:tcPr>
                  <w:tcW w:w="1196" w:type="pct"/>
                  <w:noWrap w:val="0"/>
                  <w:vAlign w:val="top"/>
                </w:tcPr>
                <w:p>
                  <w:pPr>
                    <w:pStyle w:val="3"/>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上游：中国境内</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下游：中国境内</w:t>
                  </w:r>
                </w:p>
              </w:tc>
              <w:tc>
                <w:tcPr>
                  <w:tcW w:w="2357"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上游：高空作业平台租赁市场</w:t>
                  </w:r>
                </w:p>
                <w:p>
                  <w:pPr>
                    <w:pStyle w:val="3"/>
                    <w:adjustRightInd w:val="0"/>
                    <w:snapToGrid w:val="0"/>
                    <w:spacing w:after="0"/>
                    <w:rPr>
                      <w:rFonts w:hint="default" w:ascii="Times New Roman" w:hAnsi="Times New Roman" w:eastAsia="宋体" w:cs="Times New Roman"/>
                      <w:bCs/>
                      <w:color w:val="000000"/>
                      <w:sz w:val="24"/>
                      <w:lang w:eastAsia="zh-CN"/>
                    </w:rPr>
                  </w:pPr>
                  <w:r>
                    <w:rPr>
                      <w:rFonts w:hint="eastAsia" w:ascii="Times New Roman" w:hAnsi="Times New Roman" w:eastAsia="宋体" w:cs="Times New Roman"/>
                      <w:bCs/>
                      <w:color w:val="000000"/>
                      <w:sz w:val="24"/>
                      <w:lang w:eastAsia="zh-CN"/>
                    </w:rPr>
                    <w:t>胡丹锋：</w:t>
                  </w:r>
                  <w:r>
                    <w:rPr>
                      <w:rFonts w:hint="default" w:ascii="Times New Roman" w:hAnsi="Times New Roman" w:eastAsia="宋体" w:cs="Times New Roman"/>
                      <w:bCs/>
                      <w:color w:val="000000"/>
                      <w:sz w:val="24"/>
                      <w:lang w:eastAsia="zh-CN"/>
                    </w:rPr>
                    <w:t>如上所述</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下游：建筑幕墙工程市场</w:t>
                  </w:r>
                </w:p>
                <w:p>
                  <w:pPr>
                    <w:pStyle w:val="3"/>
                    <w:adjustRightInd w:val="0"/>
                    <w:snapToGrid w:val="0"/>
                    <w:spacing w:after="0"/>
                    <w:rPr>
                      <w:rFonts w:hint="default" w:ascii="Times New Roman" w:hAnsi="Times New Roman" w:eastAsia="宋体" w:cs="Times New Roman"/>
                      <w:bCs/>
                      <w:color w:val="000000"/>
                      <w:sz w:val="24"/>
                      <w:lang w:val="en-US" w:eastAsia="zh-CN"/>
                    </w:rPr>
                  </w:pPr>
                  <w:r>
                    <w:rPr>
                      <w:rFonts w:hint="default" w:ascii="Times New Roman" w:hAnsi="Times New Roman" w:eastAsia="宋体" w:cs="Times New Roman"/>
                      <w:bCs/>
                      <w:color w:val="000000"/>
                      <w:sz w:val="24"/>
                      <w:lang w:eastAsia="zh-CN"/>
                    </w:rPr>
                    <w:t>海控产投：</w:t>
                  </w:r>
                  <w:r>
                    <w:rPr>
                      <w:rFonts w:hint="default" w:ascii="Times New Roman" w:hAnsi="Times New Roman" w:eastAsia="宋体" w:cs="Times New Roman"/>
                      <w:bCs/>
                      <w:color w:val="000000"/>
                      <w:sz w:val="24"/>
                      <w:lang w:val="en-US" w:eastAsia="zh-CN"/>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2" w:hRule="atLeast"/>
              </w:trPr>
              <w:tc>
                <w:tcPr>
                  <w:tcW w:w="1446"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上游：建筑支护设备租赁市场</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下游：房屋建筑工程施工市场</w:t>
                  </w:r>
                </w:p>
              </w:tc>
              <w:tc>
                <w:tcPr>
                  <w:tcW w:w="1196" w:type="pct"/>
                  <w:noWrap w:val="0"/>
                  <w:vAlign w:val="top"/>
                </w:tcPr>
                <w:p>
                  <w:pPr>
                    <w:pStyle w:val="3"/>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上游：中国境内</w:t>
                  </w:r>
                </w:p>
                <w:p>
                  <w:pPr>
                    <w:pStyle w:val="3"/>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下游：中国境内</w:t>
                  </w:r>
                </w:p>
              </w:tc>
              <w:tc>
                <w:tcPr>
                  <w:tcW w:w="2357"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 xml:space="preserve">上游：建筑支护设备租赁市场 </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胡丹锋：0-5%</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下游：房屋建筑工程施工市场</w:t>
                  </w:r>
                </w:p>
                <w:p>
                  <w:pPr>
                    <w:pStyle w:val="3"/>
                    <w:adjustRightInd w:val="0"/>
                    <w:snapToGrid w:val="0"/>
                    <w:spacing w:after="0"/>
                    <w:rPr>
                      <w:rFonts w:hint="default" w:ascii="Times New Roman" w:hAnsi="Times New Roman" w:eastAsia="宋体" w:cs="Times New Roman"/>
                      <w:bCs/>
                      <w:color w:val="000000"/>
                      <w:sz w:val="24"/>
                      <w:lang w:eastAsia="zh-CN"/>
                    </w:rPr>
                  </w:pPr>
                  <w:r>
                    <w:rPr>
                      <w:rFonts w:hint="eastAsia" w:ascii="Times New Roman" w:hAnsi="Times New Roman" w:eastAsia="宋体" w:cs="Times New Roman"/>
                      <w:bCs/>
                      <w:color w:val="000000"/>
                      <w:sz w:val="24"/>
                      <w:lang w:eastAsia="zh-CN"/>
                    </w:rPr>
                    <w:t>海控产投：</w:t>
                  </w:r>
                  <w:r>
                    <w:rPr>
                      <w:rFonts w:hint="default" w:ascii="Times New Roman" w:hAnsi="Times New Roman" w:eastAsia="宋体" w:cs="Times New Roman"/>
                      <w:bCs/>
                      <w:color w:val="000000"/>
                      <w:sz w:val="24"/>
                      <w:lang w:eastAsia="zh-CN"/>
                    </w:rPr>
                    <w:t>如上所述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52" w:hRule="atLeast"/>
              </w:trPr>
              <w:tc>
                <w:tcPr>
                  <w:tcW w:w="1446"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上游：建筑支护设备租赁市场</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下游：建筑幕墙工程市场</w:t>
                  </w:r>
                </w:p>
              </w:tc>
              <w:tc>
                <w:tcPr>
                  <w:tcW w:w="1196" w:type="pct"/>
                  <w:noWrap w:val="0"/>
                  <w:vAlign w:val="top"/>
                </w:tcPr>
                <w:p>
                  <w:pPr>
                    <w:pStyle w:val="3"/>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上游：中国境内</w:t>
                  </w:r>
                </w:p>
                <w:p>
                  <w:pPr>
                    <w:pStyle w:val="3"/>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下游：中国境内</w:t>
                  </w:r>
                </w:p>
              </w:tc>
              <w:tc>
                <w:tcPr>
                  <w:tcW w:w="2357" w:type="pct"/>
                  <w:noWrap w:val="0"/>
                  <w:vAlign w:val="top"/>
                </w:tcPr>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上游：建筑支护设备租赁市场</w:t>
                  </w:r>
                </w:p>
                <w:p>
                  <w:pPr>
                    <w:pStyle w:val="3"/>
                    <w:adjustRightInd w:val="0"/>
                    <w:snapToGrid w:val="0"/>
                    <w:spacing w:after="0"/>
                    <w:rPr>
                      <w:rFonts w:hint="default" w:ascii="Times New Roman" w:hAnsi="Times New Roman" w:eastAsia="宋体" w:cs="Times New Roman"/>
                      <w:bCs/>
                      <w:color w:val="000000"/>
                      <w:sz w:val="24"/>
                      <w:lang w:eastAsia="zh-CN"/>
                    </w:rPr>
                  </w:pPr>
                  <w:r>
                    <w:rPr>
                      <w:rFonts w:hint="eastAsia" w:ascii="Times New Roman" w:hAnsi="Times New Roman" w:eastAsia="宋体" w:cs="Times New Roman"/>
                      <w:bCs/>
                      <w:color w:val="000000"/>
                      <w:sz w:val="24"/>
                      <w:lang w:eastAsia="zh-CN"/>
                    </w:rPr>
                    <w:t>胡丹锋：</w:t>
                  </w:r>
                  <w:r>
                    <w:rPr>
                      <w:rFonts w:hint="default" w:ascii="Times New Roman" w:hAnsi="Times New Roman" w:eastAsia="宋体" w:cs="Times New Roman"/>
                      <w:bCs/>
                      <w:color w:val="000000"/>
                      <w:sz w:val="24"/>
                      <w:lang w:eastAsia="zh-CN"/>
                    </w:rPr>
                    <w:t>如上所述。</w:t>
                  </w:r>
                </w:p>
                <w:p>
                  <w:pPr>
                    <w:pStyle w:val="3"/>
                    <w:adjustRightInd w:val="0"/>
                    <w:snapToGrid w:val="0"/>
                    <w:spacing w:after="0"/>
                    <w:rPr>
                      <w:rFonts w:hint="default" w:ascii="Times New Roman" w:hAnsi="Times New Roman" w:eastAsia="宋体" w:cs="Times New Roman"/>
                      <w:bCs/>
                      <w:color w:val="000000"/>
                      <w:sz w:val="24"/>
                      <w:lang w:eastAsia="zh-CN"/>
                    </w:rPr>
                  </w:pPr>
                  <w:r>
                    <w:rPr>
                      <w:rFonts w:hint="default" w:ascii="Times New Roman" w:hAnsi="Times New Roman" w:eastAsia="宋体" w:cs="Times New Roman"/>
                      <w:bCs/>
                      <w:color w:val="000000"/>
                      <w:sz w:val="24"/>
                      <w:lang w:eastAsia="zh-CN"/>
                    </w:rPr>
                    <w:t>下游：建筑幕墙工程市场</w:t>
                  </w:r>
                </w:p>
                <w:p>
                  <w:pPr>
                    <w:pStyle w:val="3"/>
                    <w:adjustRightInd w:val="0"/>
                    <w:snapToGrid w:val="0"/>
                    <w:spacing w:after="0"/>
                    <w:rPr>
                      <w:rFonts w:hint="default" w:ascii="Times New Roman" w:hAnsi="Times New Roman" w:eastAsia="宋体" w:cs="Times New Roman"/>
                      <w:bCs/>
                      <w:color w:val="000000"/>
                      <w:sz w:val="24"/>
                      <w:lang w:eastAsia="zh-CN"/>
                    </w:rPr>
                  </w:pPr>
                  <w:r>
                    <w:rPr>
                      <w:rFonts w:hint="eastAsia" w:ascii="Times New Roman" w:hAnsi="Times New Roman" w:eastAsia="宋体" w:cs="Times New Roman"/>
                      <w:bCs/>
                      <w:color w:val="000000"/>
                      <w:sz w:val="24"/>
                      <w:lang w:eastAsia="zh-CN"/>
                    </w:rPr>
                    <w:t>海控产投：</w:t>
                  </w:r>
                  <w:r>
                    <w:rPr>
                      <w:rFonts w:hint="default" w:ascii="Times New Roman" w:hAnsi="Times New Roman" w:eastAsia="宋体" w:cs="Times New Roman"/>
                      <w:bCs/>
                      <w:color w:val="000000"/>
                      <w:sz w:val="24"/>
                      <w:lang w:eastAsia="zh-CN"/>
                    </w:rPr>
                    <w:t>如上所述</w:t>
                  </w:r>
                </w:p>
              </w:tc>
            </w:tr>
          </w:tbl>
          <w:p>
            <w:pPr>
              <w:pStyle w:val="2"/>
              <w:rPr>
                <w:rFonts w:hint="default" w:ascii="Times New Roman" w:hAnsi="Times New Roman" w:eastAsia="宋体" w:cs="Times New Roman"/>
                <w:bCs w:val="0"/>
                <w:sz w:val="21"/>
                <w:lang w:val="en-US" w:eastAsia="zh-CN"/>
              </w:rPr>
            </w:pPr>
          </w:p>
          <w:p>
            <w:pPr>
              <w:pStyle w:val="3"/>
              <w:adjustRightInd w:val="0"/>
              <w:snapToGrid w:val="0"/>
              <w:spacing w:after="0"/>
              <w:rPr>
                <w:rFonts w:hint="default" w:ascii="Times New Roman" w:hAnsi="Times New Roman" w:eastAsia="宋体" w:cs="Times New Roman"/>
                <w:bCs/>
                <w:color w:val="000000"/>
                <w:sz w:val="24"/>
                <w:lang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D3288C"/>
    <w:rsid w:val="71D32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style>
  <w:style w:type="paragraph" w:styleId="3">
    <w:name w:val="Body Text"/>
    <w:basedOn w:val="1"/>
    <w:unhideWhenUsed/>
    <w:qFormat/>
    <w:uiPriority w:val="99"/>
    <w:pPr>
      <w:spacing w:after="120"/>
    </w:pPr>
  </w:style>
  <w:style w:type="table" w:styleId="5">
    <w:name w:val="Table Grid"/>
    <w:basedOn w:val="4"/>
    <w:qFormat/>
    <w:uiPriority w:val="0"/>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2024-06-05T09:43:00Z</dcterms:created>
  <dc:creator>胡翌婧</dc:creator>
  <cp:lastModifiedBy>胡翌婧</cp:lastModifiedBy>
  <dcterms:modified xsi:type="dcterms:W3CDTF">2024-06-05T09:44:03Z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964FA0A96DF2492797B8739FCEBFEAAD</vt:lpwstr>
  </property>
</Properties>
</file>