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877A98">
      <w:pPr>
        <w:spacing w:after="240"/>
        <w:jc w:val="center"/>
        <w:rPr>
          <w:rFonts w:ascii="黑体" w:hAnsi="黑体" w:eastAsia="黑体"/>
          <w:sz w:val="36"/>
          <w:szCs w:val="36"/>
        </w:rPr>
      </w:pPr>
      <w:r>
        <w:rPr>
          <w:rFonts w:hint="eastAsia" w:ascii="黑体" w:hAnsi="黑体" w:eastAsia="黑体"/>
          <w:sz w:val="36"/>
          <w:szCs w:val="36"/>
        </w:rPr>
        <w:t>经营者集中简易案件公示表</w:t>
      </w:r>
    </w:p>
    <w:tbl>
      <w:tblPr>
        <w:tblStyle w:val="6"/>
        <w:tblW w:w="87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799"/>
        <w:gridCol w:w="5150"/>
      </w:tblGrid>
      <w:tr w14:paraId="67B01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809" w:type="dxa"/>
            <w:shd w:val="clear" w:color="auto" w:fill="D9D9D9"/>
            <w:vAlign w:val="center"/>
          </w:tcPr>
          <w:p w14:paraId="7A8046AD">
            <w:pPr>
              <w:pStyle w:val="3"/>
              <w:jc w:val="center"/>
              <w:rPr>
                <w:rFonts w:hint="eastAsia" w:ascii="宋体" w:hAnsi="宋体" w:eastAsia="宋体" w:cs="宋体"/>
                <w:sz w:val="24"/>
                <w:szCs w:val="24"/>
                <w:lang w:val="en-GB"/>
              </w:rPr>
            </w:pPr>
            <w:r>
              <w:rPr>
                <w:rFonts w:hint="eastAsia" w:ascii="宋体" w:hAnsi="宋体" w:eastAsia="宋体" w:cs="宋体"/>
                <w:sz w:val="24"/>
                <w:szCs w:val="24"/>
                <w:lang w:val="en-GB"/>
              </w:rPr>
              <w:t>案件名称</w:t>
            </w:r>
          </w:p>
        </w:tc>
        <w:tc>
          <w:tcPr>
            <w:tcW w:w="6949" w:type="dxa"/>
            <w:gridSpan w:val="2"/>
            <w:vAlign w:val="center"/>
          </w:tcPr>
          <w:p w14:paraId="0F1CD6D8">
            <w:pPr>
              <w:widowControl/>
              <w:adjustRightInd w:val="0"/>
              <w:snapToGrid w:val="0"/>
              <w:jc w:val="both"/>
              <w:rPr>
                <w:rFonts w:hint="eastAsia" w:ascii="宋体" w:hAnsi="宋体" w:eastAsia="宋体" w:cs="宋体"/>
                <w:sz w:val="24"/>
                <w:szCs w:val="24"/>
                <w:lang w:val="en-GB"/>
              </w:rPr>
            </w:pPr>
            <w:r>
              <w:rPr>
                <w:rFonts w:hint="eastAsia" w:ascii="宋体" w:hAnsi="宋体" w:eastAsia="宋体" w:cs="宋体"/>
                <w:sz w:val="24"/>
                <w:szCs w:val="24"/>
                <w:lang w:val="en-GB"/>
              </w:rPr>
              <w:t>科顺防水科技股份有限公司收购湖南建工汇建新材料科技有限公司股权案</w:t>
            </w:r>
          </w:p>
        </w:tc>
      </w:tr>
      <w:tr w14:paraId="7B5D4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trPr>
        <w:tc>
          <w:tcPr>
            <w:tcW w:w="1809" w:type="dxa"/>
            <w:shd w:val="clear" w:color="auto" w:fill="D9D9D9"/>
            <w:vAlign w:val="center"/>
          </w:tcPr>
          <w:p w14:paraId="1D6E6056">
            <w:pPr>
              <w:pStyle w:val="3"/>
              <w:jc w:val="center"/>
              <w:rPr>
                <w:rFonts w:hint="eastAsia" w:ascii="宋体" w:hAnsi="宋体" w:eastAsia="宋体" w:cs="宋体"/>
                <w:sz w:val="24"/>
                <w:szCs w:val="24"/>
                <w:lang w:val="en-GB"/>
              </w:rPr>
            </w:pPr>
            <w:r>
              <w:rPr>
                <w:rFonts w:hint="eastAsia" w:ascii="宋体" w:hAnsi="宋体" w:eastAsia="宋体" w:cs="宋体"/>
                <w:sz w:val="24"/>
                <w:szCs w:val="24"/>
                <w:lang w:val="en-GB"/>
              </w:rPr>
              <w:t>交易概况</w:t>
            </w:r>
          </w:p>
          <w:p w14:paraId="3B494C57">
            <w:pPr>
              <w:pStyle w:val="3"/>
              <w:jc w:val="center"/>
              <w:rPr>
                <w:rFonts w:hint="eastAsia" w:ascii="宋体" w:hAnsi="宋体" w:eastAsia="宋体" w:cs="宋体"/>
                <w:sz w:val="24"/>
                <w:szCs w:val="24"/>
                <w:lang w:val="en-GB"/>
              </w:rPr>
            </w:pPr>
            <w:r>
              <w:rPr>
                <w:rFonts w:hint="eastAsia" w:ascii="宋体" w:hAnsi="宋体" w:eastAsia="宋体" w:cs="宋体"/>
                <w:sz w:val="24"/>
                <w:szCs w:val="24"/>
                <w:lang w:val="en-GB"/>
              </w:rPr>
              <w:t>（限200字内）</w:t>
            </w:r>
          </w:p>
        </w:tc>
        <w:tc>
          <w:tcPr>
            <w:tcW w:w="6949" w:type="dxa"/>
            <w:gridSpan w:val="2"/>
          </w:tcPr>
          <w:p w14:paraId="664520C2">
            <w:pPr>
              <w:widowControl/>
              <w:adjustRightInd w:val="0"/>
              <w:snapToGrid w:val="0"/>
              <w:jc w:val="both"/>
              <w:rPr>
                <w:rFonts w:hint="eastAsia" w:ascii="宋体" w:hAnsi="宋体" w:eastAsia="宋体" w:cs="宋体"/>
                <w:sz w:val="24"/>
                <w:szCs w:val="24"/>
                <w:lang w:val="en-GB" w:eastAsia="zh-CN"/>
              </w:rPr>
            </w:pPr>
            <w:r>
              <w:rPr>
                <w:rFonts w:hint="eastAsia" w:ascii="宋体" w:hAnsi="宋体" w:eastAsia="宋体" w:cs="宋体"/>
                <w:sz w:val="24"/>
                <w:szCs w:val="24"/>
                <w:lang w:val="en-GB"/>
              </w:rPr>
              <w:t>科顺防水科技股份有限公司（</w:t>
            </w:r>
            <w:r>
              <w:rPr>
                <w:rFonts w:hint="eastAsia" w:ascii="宋体" w:hAnsi="宋体" w:eastAsia="宋体" w:cs="宋体"/>
                <w:b/>
                <w:bCs/>
                <w:sz w:val="24"/>
                <w:szCs w:val="24"/>
                <w:lang w:val="en-GB"/>
              </w:rPr>
              <w:t>“</w:t>
            </w:r>
            <w:r>
              <w:rPr>
                <w:rFonts w:hint="eastAsia" w:ascii="宋体" w:hAnsi="宋体" w:eastAsia="宋体" w:cs="宋体"/>
                <w:b/>
                <w:bCs/>
                <w:sz w:val="24"/>
                <w:szCs w:val="24"/>
                <w:lang w:val="en-US" w:eastAsia="zh-CN"/>
              </w:rPr>
              <w:t>科顺股份</w:t>
            </w:r>
            <w:r>
              <w:rPr>
                <w:rFonts w:hint="eastAsia" w:ascii="宋体" w:hAnsi="宋体" w:eastAsia="宋体" w:cs="宋体"/>
                <w:b/>
                <w:bCs/>
                <w:sz w:val="24"/>
                <w:szCs w:val="24"/>
                <w:lang w:val="en-GB"/>
              </w:rPr>
              <w:t>”</w:t>
            </w:r>
            <w:r>
              <w:rPr>
                <w:rFonts w:hint="eastAsia" w:ascii="宋体" w:hAnsi="宋体" w:eastAsia="宋体" w:cs="宋体"/>
                <w:sz w:val="24"/>
                <w:szCs w:val="24"/>
                <w:lang w:val="en-GB"/>
              </w:rPr>
              <w:t>）</w:t>
            </w:r>
            <w:r>
              <w:rPr>
                <w:rFonts w:hint="eastAsia" w:ascii="宋体" w:hAnsi="宋体" w:cs="宋体"/>
                <w:sz w:val="24"/>
                <w:szCs w:val="24"/>
                <w:lang w:val="en-US" w:eastAsia="zh-CN"/>
              </w:rPr>
              <w:t>与</w:t>
            </w:r>
            <w:r>
              <w:rPr>
                <w:rFonts w:hint="eastAsia" w:ascii="宋体" w:hAnsi="宋体" w:eastAsia="宋体" w:cs="宋体"/>
                <w:sz w:val="24"/>
                <w:szCs w:val="24"/>
                <w:lang w:val="en-US" w:eastAsia="zh-CN"/>
              </w:rPr>
              <w:t>张卫红</w:t>
            </w:r>
            <w:r>
              <w:rPr>
                <w:rFonts w:hint="eastAsia" w:ascii="宋体" w:hAnsi="宋体" w:cs="宋体"/>
                <w:sz w:val="24"/>
                <w:szCs w:val="24"/>
                <w:lang w:val="en-US" w:eastAsia="zh-CN"/>
              </w:rPr>
              <w:t>签署协议</w:t>
            </w:r>
            <w:r>
              <w:rPr>
                <w:rFonts w:hint="eastAsia" w:ascii="宋体" w:hAnsi="宋体" w:eastAsia="宋体" w:cs="宋体"/>
                <w:sz w:val="24"/>
                <w:szCs w:val="24"/>
                <w:lang w:val="en-GB"/>
              </w:rPr>
              <w:t>，</w:t>
            </w:r>
            <w:r>
              <w:rPr>
                <w:rFonts w:hint="eastAsia" w:ascii="宋体" w:hAnsi="宋体" w:cs="宋体"/>
                <w:sz w:val="24"/>
                <w:szCs w:val="24"/>
                <w:lang w:val="en-US" w:eastAsia="zh-CN"/>
              </w:rPr>
              <w:t>科顺股份拟收购张卫红持有的湖南汇建共计30%的股权。湖南汇建</w:t>
            </w:r>
            <w:r>
              <w:rPr>
                <w:rFonts w:hint="eastAsia" w:ascii="宋体" w:hAnsi="宋体" w:eastAsia="宋体" w:cs="宋体"/>
                <w:sz w:val="24"/>
                <w:szCs w:val="24"/>
                <w:lang w:val="en-GB"/>
              </w:rPr>
              <w:t>主要从事</w:t>
            </w:r>
            <w:r>
              <w:rPr>
                <w:rFonts w:hint="eastAsia" w:ascii="宋体" w:hAnsi="宋体" w:eastAsia="宋体" w:cs="宋体"/>
                <w:sz w:val="24"/>
                <w:szCs w:val="24"/>
                <w:lang w:val="en-US" w:eastAsia="zh-CN"/>
              </w:rPr>
              <w:t>建筑预拌砂浆</w:t>
            </w:r>
            <w:r>
              <w:rPr>
                <w:rFonts w:hint="eastAsia" w:ascii="宋体" w:hAnsi="宋体" w:eastAsia="宋体" w:cs="宋体"/>
                <w:sz w:val="24"/>
                <w:szCs w:val="24"/>
                <w:lang w:val="en-GB"/>
              </w:rPr>
              <w:t>业务。交易</w:t>
            </w:r>
            <w:r>
              <w:rPr>
                <w:rFonts w:hint="eastAsia" w:ascii="宋体" w:hAnsi="宋体" w:cs="宋体"/>
                <w:sz w:val="24"/>
                <w:szCs w:val="24"/>
                <w:lang w:val="en-US" w:eastAsia="zh-CN"/>
              </w:rPr>
              <w:t>前</w:t>
            </w:r>
            <w:r>
              <w:rPr>
                <w:rFonts w:hint="eastAsia" w:ascii="宋体" w:hAnsi="宋体" w:eastAsia="宋体" w:cs="宋体"/>
                <w:sz w:val="24"/>
                <w:szCs w:val="24"/>
                <w:lang w:val="en-GB"/>
              </w:rPr>
              <w:t>，</w:t>
            </w:r>
            <w:r>
              <w:rPr>
                <w:rFonts w:hint="eastAsia" w:ascii="宋体" w:hAnsi="宋体" w:cs="宋体"/>
                <w:sz w:val="24"/>
                <w:szCs w:val="24"/>
                <w:lang w:val="en-US" w:eastAsia="zh-CN"/>
              </w:rPr>
              <w:t>湖南汇建由湖南建工建筑材料有限公司（</w:t>
            </w:r>
            <w:r>
              <w:rPr>
                <w:rFonts w:hint="eastAsia" w:ascii="宋体" w:hAnsi="宋体" w:cs="宋体"/>
                <w:b/>
                <w:bCs/>
                <w:sz w:val="24"/>
                <w:szCs w:val="24"/>
                <w:lang w:val="en-US" w:eastAsia="zh-CN"/>
              </w:rPr>
              <w:t>“建工建材”</w:t>
            </w:r>
            <w:r>
              <w:rPr>
                <w:rFonts w:hint="eastAsia" w:ascii="宋体" w:hAnsi="宋体" w:cs="宋体"/>
                <w:sz w:val="24"/>
                <w:szCs w:val="24"/>
                <w:lang w:val="en-US" w:eastAsia="zh-CN"/>
              </w:rPr>
              <w:t>）和</w:t>
            </w:r>
            <w:r>
              <w:rPr>
                <w:rFonts w:hint="eastAsia" w:ascii="宋体" w:hAnsi="宋体" w:eastAsia="宋体" w:cs="宋体"/>
                <w:sz w:val="24"/>
                <w:szCs w:val="24"/>
                <w:lang w:val="en-US" w:eastAsia="zh-CN"/>
              </w:rPr>
              <w:t>张卫红</w:t>
            </w:r>
            <w:r>
              <w:rPr>
                <w:rFonts w:hint="eastAsia" w:ascii="宋体" w:hAnsi="宋体" w:cs="宋体"/>
                <w:sz w:val="24"/>
                <w:szCs w:val="24"/>
                <w:lang w:val="en-US" w:eastAsia="zh-CN"/>
              </w:rPr>
              <w:t>共同控制；交易后，湖南汇建由建工建材、科顺股份和张卫红共同控制</w:t>
            </w:r>
            <w:r>
              <w:rPr>
                <w:rFonts w:hint="eastAsia" w:ascii="宋体" w:hAnsi="宋体" w:cs="宋体"/>
                <w:sz w:val="24"/>
                <w:szCs w:val="24"/>
                <w:lang w:val="en-GB" w:eastAsia="zh-CN"/>
              </w:rPr>
              <w:t>。</w:t>
            </w:r>
          </w:p>
        </w:tc>
      </w:tr>
      <w:tr w14:paraId="65D63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809" w:type="dxa"/>
            <w:vMerge w:val="restart"/>
            <w:shd w:val="clear" w:color="auto" w:fill="D9D9D9"/>
            <w:vAlign w:val="center"/>
          </w:tcPr>
          <w:p w14:paraId="63AA84EA">
            <w:pPr>
              <w:pStyle w:val="3"/>
              <w:jc w:val="center"/>
              <w:rPr>
                <w:rFonts w:hint="eastAsia" w:ascii="宋体" w:hAnsi="宋体" w:eastAsia="宋体" w:cs="宋体"/>
                <w:sz w:val="24"/>
                <w:szCs w:val="24"/>
                <w:lang w:val="en-GB"/>
              </w:rPr>
            </w:pPr>
            <w:r>
              <w:rPr>
                <w:rFonts w:hint="eastAsia" w:ascii="宋体" w:hAnsi="宋体" w:eastAsia="宋体" w:cs="宋体"/>
                <w:sz w:val="24"/>
                <w:szCs w:val="24"/>
                <w:lang w:val="en-GB"/>
              </w:rPr>
              <w:t>参与集中的</w:t>
            </w:r>
          </w:p>
          <w:p w14:paraId="31481131">
            <w:pPr>
              <w:pStyle w:val="3"/>
              <w:jc w:val="center"/>
              <w:rPr>
                <w:rFonts w:hint="eastAsia" w:ascii="宋体" w:hAnsi="宋体" w:eastAsia="宋体" w:cs="宋体"/>
                <w:sz w:val="24"/>
                <w:szCs w:val="24"/>
                <w:lang w:val="en-GB"/>
              </w:rPr>
            </w:pPr>
            <w:r>
              <w:rPr>
                <w:rFonts w:hint="eastAsia" w:ascii="宋体" w:hAnsi="宋体" w:eastAsia="宋体" w:cs="宋体"/>
                <w:sz w:val="24"/>
                <w:szCs w:val="24"/>
                <w:lang w:val="en-GB"/>
              </w:rPr>
              <w:t>经营者简介</w:t>
            </w:r>
          </w:p>
        </w:tc>
        <w:tc>
          <w:tcPr>
            <w:tcW w:w="1799" w:type="dxa"/>
            <w:vAlign w:val="center"/>
          </w:tcPr>
          <w:p w14:paraId="357602B7">
            <w:pPr>
              <w:widowControl/>
              <w:adjustRightInd w:val="0"/>
              <w:snapToGrid w:val="0"/>
              <w:jc w:val="left"/>
              <w:rPr>
                <w:rFonts w:hint="eastAsia" w:ascii="宋体" w:hAnsi="宋体" w:eastAsia="宋体" w:cs="宋体"/>
                <w:b w:val="0"/>
                <w:bCs w:val="0"/>
                <w:sz w:val="24"/>
                <w:szCs w:val="24"/>
                <w:lang w:val="en-US"/>
              </w:rPr>
            </w:pPr>
            <w:r>
              <w:rPr>
                <w:rFonts w:hint="eastAsia" w:ascii="宋体" w:hAnsi="宋体" w:eastAsia="宋体" w:cs="宋体"/>
                <w:sz w:val="24"/>
                <w:szCs w:val="24"/>
                <w:lang w:val="en-GB"/>
              </w:rPr>
              <w:t>1、</w:t>
            </w:r>
            <w:r>
              <w:rPr>
                <w:rFonts w:hint="eastAsia" w:ascii="宋体" w:hAnsi="宋体" w:eastAsia="宋体" w:cs="宋体"/>
                <w:sz w:val="24"/>
                <w:szCs w:val="24"/>
                <w:lang w:val="en-US" w:eastAsia="zh-CN"/>
              </w:rPr>
              <w:t>建工建材</w:t>
            </w:r>
          </w:p>
        </w:tc>
        <w:tc>
          <w:tcPr>
            <w:tcW w:w="5150" w:type="dxa"/>
          </w:tcPr>
          <w:p w14:paraId="3A136EA7">
            <w:pPr>
              <w:widowControl/>
              <w:adjustRightInd w:val="0"/>
              <w:snapToGrid w:val="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建工建材于1985年1月成立于湖南省长沙市</w:t>
            </w:r>
            <w:r>
              <w:rPr>
                <w:rFonts w:hint="eastAsia" w:ascii="宋体" w:hAnsi="宋体" w:eastAsia="宋体" w:cs="宋体"/>
                <w:sz w:val="24"/>
                <w:szCs w:val="24"/>
                <w:lang w:val="en-GB" w:eastAsia="zh-CN"/>
              </w:rPr>
              <w:t>，</w:t>
            </w:r>
            <w:r>
              <w:rPr>
                <w:rFonts w:hint="eastAsia" w:ascii="宋体" w:hAnsi="宋体" w:eastAsia="宋体" w:cs="宋体"/>
                <w:sz w:val="24"/>
                <w:szCs w:val="24"/>
                <w:lang w:val="en-US" w:eastAsia="zh-CN"/>
              </w:rPr>
              <w:t>主要以建筑材料生产、销售为主营业务</w:t>
            </w:r>
            <w:r>
              <w:rPr>
                <w:rFonts w:hint="eastAsia" w:ascii="宋体" w:hAnsi="宋体" w:cs="宋体"/>
                <w:sz w:val="24"/>
                <w:szCs w:val="24"/>
                <w:lang w:val="en-GB" w:eastAsia="zh-CN"/>
              </w:rPr>
              <w:t>，</w:t>
            </w:r>
            <w:r>
              <w:rPr>
                <w:rFonts w:hint="eastAsia" w:ascii="宋体" w:hAnsi="宋体" w:cs="宋体"/>
                <w:sz w:val="24"/>
                <w:szCs w:val="24"/>
                <w:lang w:val="en-US" w:eastAsia="zh-CN"/>
              </w:rPr>
              <w:t>其中通过湖南汇建从事</w:t>
            </w:r>
            <w:r>
              <w:rPr>
                <w:rFonts w:hint="eastAsia" w:ascii="宋体" w:hAnsi="宋体" w:eastAsia="宋体" w:cs="宋体"/>
                <w:sz w:val="24"/>
                <w:szCs w:val="24"/>
                <w:highlight w:val="none"/>
                <w:lang w:val="en-US" w:eastAsia="zh-CN"/>
              </w:rPr>
              <w:t>建筑预拌砂浆业务</w:t>
            </w:r>
            <w:r>
              <w:rPr>
                <w:rFonts w:hint="eastAsia" w:ascii="宋体" w:hAnsi="宋体" w:cs="宋体"/>
                <w:sz w:val="24"/>
                <w:szCs w:val="24"/>
                <w:highlight w:val="none"/>
                <w:lang w:val="en-US" w:eastAsia="zh-CN"/>
              </w:rPr>
              <w:t>。</w:t>
            </w:r>
          </w:p>
          <w:p w14:paraId="2819B718">
            <w:pPr>
              <w:widowControl/>
              <w:adjustRightInd w:val="0"/>
              <w:snapToGrid w:val="0"/>
              <w:jc w:val="both"/>
              <w:rPr>
                <w:rFonts w:hint="default" w:ascii="宋体" w:hAnsi="宋体" w:eastAsia="宋体" w:cs="宋体"/>
                <w:sz w:val="24"/>
                <w:szCs w:val="24"/>
                <w:lang w:val="en-US"/>
              </w:rPr>
            </w:pPr>
            <w:r>
              <w:rPr>
                <w:rFonts w:hint="eastAsia" w:ascii="宋体" w:hAnsi="宋体" w:eastAsia="宋体" w:cs="宋体"/>
                <w:sz w:val="24"/>
                <w:szCs w:val="24"/>
                <w:lang w:val="en-US" w:eastAsia="zh-CN"/>
              </w:rPr>
              <w:t>建工建材最终控制人为湖南建设投资集团有限责任公司，主</w:t>
            </w:r>
            <w:r>
              <w:rPr>
                <w:rFonts w:hint="eastAsia" w:ascii="宋体" w:hAnsi="宋体" w:cs="宋体"/>
                <w:sz w:val="24"/>
                <w:szCs w:val="24"/>
                <w:lang w:val="en-US" w:eastAsia="zh-CN"/>
              </w:rPr>
              <w:t>要</w:t>
            </w:r>
            <w:r>
              <w:rPr>
                <w:rFonts w:hint="eastAsia" w:ascii="宋体" w:hAnsi="宋体" w:eastAsia="宋体" w:cs="宋体"/>
                <w:sz w:val="24"/>
                <w:szCs w:val="24"/>
                <w:lang w:val="en-US" w:eastAsia="zh-CN"/>
              </w:rPr>
              <w:t>从事建设工程施工、建设工程勘察、建设工程设计、房地产开发经营等业务</w:t>
            </w:r>
            <w:r>
              <w:rPr>
                <w:rFonts w:hint="eastAsia" w:ascii="宋体" w:hAnsi="宋体" w:cs="宋体"/>
                <w:sz w:val="24"/>
                <w:szCs w:val="24"/>
                <w:lang w:val="en-US" w:eastAsia="zh-CN"/>
              </w:rPr>
              <w:t>。</w:t>
            </w:r>
          </w:p>
        </w:tc>
      </w:tr>
      <w:tr w14:paraId="24915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809" w:type="dxa"/>
            <w:vMerge w:val="continue"/>
            <w:shd w:val="clear" w:color="auto" w:fill="D9D9D9"/>
            <w:vAlign w:val="center"/>
          </w:tcPr>
          <w:p w14:paraId="362191AC">
            <w:pPr>
              <w:pStyle w:val="3"/>
              <w:jc w:val="center"/>
              <w:rPr>
                <w:rFonts w:hint="eastAsia" w:ascii="宋体" w:hAnsi="宋体" w:eastAsia="宋体" w:cs="宋体"/>
                <w:sz w:val="24"/>
                <w:szCs w:val="24"/>
                <w:lang w:val="en-GB"/>
              </w:rPr>
            </w:pPr>
          </w:p>
        </w:tc>
        <w:tc>
          <w:tcPr>
            <w:tcW w:w="1799" w:type="dxa"/>
            <w:vAlign w:val="center"/>
          </w:tcPr>
          <w:p w14:paraId="61FA463E">
            <w:pPr>
              <w:widowControl/>
              <w:adjustRightInd w:val="0"/>
              <w:snapToGrid w:val="0"/>
              <w:jc w:val="left"/>
              <w:rPr>
                <w:rFonts w:hint="eastAsia" w:ascii="宋体" w:hAnsi="宋体" w:eastAsia="宋体" w:cs="宋体"/>
                <w:b w:val="0"/>
                <w:bCs w:val="0"/>
                <w:sz w:val="24"/>
                <w:szCs w:val="24"/>
                <w:lang w:val="en-US"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lang w:val="en-GB" w:eastAsia="zh-CN"/>
              </w:rPr>
              <w:t>、</w:t>
            </w:r>
            <w:r>
              <w:rPr>
                <w:rFonts w:hint="eastAsia" w:ascii="宋体" w:hAnsi="宋体" w:eastAsia="宋体" w:cs="宋体"/>
                <w:sz w:val="24"/>
                <w:szCs w:val="24"/>
                <w:lang w:val="en-US" w:eastAsia="zh-CN"/>
              </w:rPr>
              <w:t>科顺股份</w:t>
            </w:r>
          </w:p>
        </w:tc>
        <w:tc>
          <w:tcPr>
            <w:tcW w:w="5150" w:type="dxa"/>
            <w:vAlign w:val="top"/>
          </w:tcPr>
          <w:p w14:paraId="48CE97AA">
            <w:pPr>
              <w:widowControl/>
              <w:adjustRightInd w:val="0"/>
              <w:snapToGrid w:val="0"/>
              <w:jc w:val="both"/>
              <w:rPr>
                <w:rFonts w:hint="eastAsia" w:ascii="宋体" w:hAnsi="宋体" w:eastAsia="宋体" w:cs="宋体"/>
                <w:sz w:val="24"/>
                <w:szCs w:val="24"/>
                <w:lang w:val="en-GB" w:eastAsia="zh-CN"/>
              </w:rPr>
            </w:pPr>
            <w:r>
              <w:rPr>
                <w:rFonts w:hint="eastAsia" w:ascii="宋体" w:hAnsi="宋体" w:eastAsia="宋体" w:cs="宋体"/>
                <w:sz w:val="24"/>
                <w:szCs w:val="24"/>
                <w:lang w:val="en-US" w:eastAsia="zh-CN"/>
              </w:rPr>
              <w:t>科顺股份</w:t>
            </w:r>
            <w:r>
              <w:rPr>
                <w:rFonts w:hint="eastAsia" w:ascii="宋体" w:hAnsi="宋体" w:eastAsia="宋体" w:cs="宋体"/>
                <w:sz w:val="24"/>
                <w:szCs w:val="24"/>
                <w:lang w:val="en-GB" w:eastAsia="zh-CN"/>
              </w:rPr>
              <w:t>于</w:t>
            </w:r>
            <w:r>
              <w:rPr>
                <w:rFonts w:hint="eastAsia" w:ascii="宋体" w:hAnsi="宋体" w:eastAsia="宋体" w:cs="宋体"/>
                <w:sz w:val="24"/>
                <w:szCs w:val="24"/>
                <w:lang w:val="en-US" w:eastAsia="zh-CN"/>
              </w:rPr>
              <w:t>1996</w:t>
            </w:r>
            <w:r>
              <w:rPr>
                <w:rFonts w:hint="eastAsia" w:ascii="宋体" w:hAnsi="宋体" w:eastAsia="宋体" w:cs="宋体"/>
                <w:sz w:val="24"/>
                <w:szCs w:val="24"/>
                <w:lang w:val="en-GB" w:eastAsia="zh-CN"/>
              </w:rPr>
              <w:t>年</w:t>
            </w:r>
            <w:r>
              <w:rPr>
                <w:rFonts w:hint="eastAsia" w:ascii="宋体" w:hAnsi="宋体" w:eastAsia="宋体" w:cs="宋体"/>
                <w:sz w:val="24"/>
                <w:szCs w:val="24"/>
                <w:lang w:val="en-US" w:eastAsia="zh-CN"/>
              </w:rPr>
              <w:t>10</w:t>
            </w:r>
            <w:r>
              <w:rPr>
                <w:rFonts w:hint="eastAsia" w:ascii="宋体" w:hAnsi="宋体" w:eastAsia="宋体" w:cs="宋体"/>
                <w:sz w:val="24"/>
                <w:szCs w:val="24"/>
                <w:lang w:val="en-GB" w:eastAsia="zh-CN"/>
              </w:rPr>
              <w:t>月1</w:t>
            </w:r>
            <w:r>
              <w:rPr>
                <w:rFonts w:hint="eastAsia" w:ascii="宋体" w:hAnsi="宋体" w:eastAsia="宋体" w:cs="宋体"/>
                <w:sz w:val="24"/>
                <w:szCs w:val="24"/>
                <w:lang w:val="en-US" w:eastAsia="zh-CN"/>
              </w:rPr>
              <w:t>0</w:t>
            </w:r>
            <w:r>
              <w:rPr>
                <w:rFonts w:hint="eastAsia" w:ascii="宋体" w:hAnsi="宋体" w:eastAsia="宋体" w:cs="宋体"/>
                <w:sz w:val="24"/>
                <w:szCs w:val="24"/>
                <w:lang w:val="en-GB" w:eastAsia="zh-CN"/>
              </w:rPr>
              <w:t>日成立于中国广东省</w:t>
            </w:r>
            <w:r>
              <w:rPr>
                <w:rFonts w:hint="eastAsia" w:ascii="宋体" w:hAnsi="宋体" w:eastAsia="宋体" w:cs="宋体"/>
                <w:sz w:val="24"/>
                <w:szCs w:val="24"/>
                <w:lang w:val="en-US" w:eastAsia="zh-CN"/>
              </w:rPr>
              <w:t>佛山</w:t>
            </w:r>
            <w:r>
              <w:rPr>
                <w:rFonts w:hint="eastAsia" w:ascii="宋体" w:hAnsi="宋体" w:eastAsia="宋体" w:cs="宋体"/>
                <w:sz w:val="24"/>
                <w:szCs w:val="24"/>
                <w:lang w:val="en-GB" w:eastAsia="zh-CN"/>
              </w:rPr>
              <w:t>市，为深圳证券交易所上市公司，主要从事新型建筑防水材料及建筑减隔震研发、生产、销售等业务。</w:t>
            </w:r>
          </w:p>
          <w:p w14:paraId="3C8D72DB">
            <w:pPr>
              <w:widowControl/>
              <w:adjustRightInd w:val="0"/>
              <w:snapToGrid w:val="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科顺股份</w:t>
            </w:r>
            <w:r>
              <w:rPr>
                <w:rFonts w:hint="eastAsia" w:ascii="宋体" w:hAnsi="宋体" w:eastAsia="宋体" w:cs="宋体"/>
                <w:sz w:val="24"/>
                <w:szCs w:val="24"/>
                <w:lang w:val="en-GB" w:eastAsia="zh-CN"/>
              </w:rPr>
              <w:t>最终控制人为</w:t>
            </w:r>
            <w:r>
              <w:rPr>
                <w:rFonts w:hint="eastAsia" w:ascii="宋体" w:hAnsi="宋体" w:eastAsia="宋体" w:cs="宋体"/>
                <w:sz w:val="24"/>
                <w:szCs w:val="24"/>
                <w:lang w:val="en-US" w:eastAsia="zh-CN"/>
              </w:rPr>
              <w:t>自然人</w:t>
            </w:r>
            <w:r>
              <w:rPr>
                <w:rFonts w:hint="eastAsia" w:ascii="宋体" w:hAnsi="宋体" w:eastAsia="宋体" w:cs="宋体"/>
                <w:sz w:val="24"/>
                <w:szCs w:val="24"/>
                <w:lang w:val="en-GB" w:eastAsia="zh-CN"/>
              </w:rPr>
              <w:t>陈伟忠、阮宜宝，主要</w:t>
            </w:r>
            <w:r>
              <w:rPr>
                <w:rFonts w:hint="eastAsia" w:ascii="宋体" w:hAnsi="宋体" w:eastAsia="宋体" w:cs="宋体"/>
                <w:sz w:val="24"/>
                <w:szCs w:val="24"/>
                <w:lang w:val="en-US" w:eastAsia="zh-CN"/>
              </w:rPr>
              <w:t>从事</w:t>
            </w:r>
            <w:r>
              <w:rPr>
                <w:rFonts w:hint="eastAsia" w:ascii="宋体" w:hAnsi="宋体" w:eastAsia="宋体" w:cs="宋体"/>
                <w:sz w:val="24"/>
                <w:szCs w:val="24"/>
                <w:lang w:val="en-GB" w:eastAsia="zh-CN"/>
              </w:rPr>
              <w:t>新型建筑防水材料和建筑减隔震的研发、生产、销售</w:t>
            </w:r>
            <w:r>
              <w:rPr>
                <w:rFonts w:hint="eastAsia" w:ascii="宋体" w:hAnsi="宋体" w:eastAsia="宋体" w:cs="宋体"/>
                <w:sz w:val="24"/>
                <w:szCs w:val="24"/>
                <w:lang w:val="en-US" w:eastAsia="zh-CN"/>
              </w:rPr>
              <w:t>等业务</w:t>
            </w:r>
            <w:r>
              <w:rPr>
                <w:rFonts w:hint="eastAsia" w:ascii="宋体" w:hAnsi="宋体" w:eastAsia="宋体" w:cs="宋体"/>
                <w:sz w:val="24"/>
                <w:szCs w:val="24"/>
                <w:lang w:val="en-GB" w:eastAsia="zh-CN"/>
              </w:rPr>
              <w:t>。</w:t>
            </w:r>
          </w:p>
        </w:tc>
      </w:tr>
      <w:tr w14:paraId="49F9A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809" w:type="dxa"/>
            <w:vMerge w:val="continue"/>
            <w:shd w:val="clear" w:color="auto" w:fill="D9D9D9"/>
            <w:vAlign w:val="center"/>
          </w:tcPr>
          <w:p w14:paraId="14A30105">
            <w:pPr>
              <w:pStyle w:val="3"/>
              <w:jc w:val="center"/>
              <w:rPr>
                <w:rFonts w:hint="eastAsia" w:ascii="宋体" w:hAnsi="宋体" w:eastAsia="宋体" w:cs="宋体"/>
                <w:sz w:val="24"/>
                <w:szCs w:val="24"/>
                <w:lang w:val="en-GB"/>
              </w:rPr>
            </w:pPr>
          </w:p>
        </w:tc>
        <w:tc>
          <w:tcPr>
            <w:tcW w:w="1799" w:type="dxa"/>
            <w:vAlign w:val="center"/>
          </w:tcPr>
          <w:p w14:paraId="21D025BF">
            <w:pPr>
              <w:widowControl/>
              <w:adjustRightInd w:val="0"/>
              <w:snapToGrid w:val="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3、张卫红</w:t>
            </w:r>
          </w:p>
        </w:tc>
        <w:tc>
          <w:tcPr>
            <w:tcW w:w="5150" w:type="dxa"/>
            <w:vAlign w:val="top"/>
          </w:tcPr>
          <w:p w14:paraId="7243942F">
            <w:pPr>
              <w:widowControl/>
              <w:adjustRightInd w:val="0"/>
              <w:snapToGrid w:val="0"/>
              <w:jc w:val="both"/>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张卫红为自然人，持有湖南汇建的股权。</w:t>
            </w:r>
          </w:p>
          <w:p w14:paraId="4D931AD3">
            <w:pPr>
              <w:widowControl/>
              <w:adjustRightInd w:val="0"/>
              <w:snapToGrid w:val="0"/>
              <w:jc w:val="both"/>
              <w:rPr>
                <w:rFonts w:hint="eastAsia" w:ascii="宋体" w:hAnsi="宋体" w:eastAsia="宋体" w:cs="宋体"/>
                <w:sz w:val="24"/>
                <w:szCs w:val="24"/>
                <w:lang w:val="en-US" w:eastAsia="zh-CN"/>
              </w:rPr>
            </w:pPr>
            <w:r>
              <w:rPr>
                <w:rFonts w:hint="eastAsia" w:ascii="宋体" w:hAnsi="宋体" w:cs="宋体"/>
                <w:sz w:val="24"/>
                <w:szCs w:val="24"/>
                <w:highlight w:val="none"/>
                <w:lang w:val="en-US" w:eastAsia="zh-CN"/>
              </w:rPr>
              <w:t>主要通过</w:t>
            </w:r>
            <w:r>
              <w:rPr>
                <w:rFonts w:hint="eastAsia" w:ascii="宋体" w:hAnsi="宋体" w:eastAsia="宋体" w:cs="宋体"/>
                <w:sz w:val="24"/>
                <w:szCs w:val="24"/>
                <w:highlight w:val="none"/>
                <w:lang w:val="en-US" w:eastAsia="zh-CN"/>
              </w:rPr>
              <w:t>湖南汇建从事建筑预拌砂浆业务。</w:t>
            </w:r>
          </w:p>
        </w:tc>
      </w:tr>
      <w:tr w14:paraId="5E145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809" w:type="dxa"/>
            <w:vMerge w:val="continue"/>
            <w:shd w:val="clear" w:color="auto" w:fill="D9D9D9"/>
            <w:vAlign w:val="center"/>
          </w:tcPr>
          <w:p w14:paraId="0938E9AD">
            <w:pPr>
              <w:pStyle w:val="3"/>
              <w:jc w:val="center"/>
              <w:rPr>
                <w:rFonts w:hint="eastAsia" w:ascii="宋体" w:hAnsi="宋体" w:eastAsia="宋体" w:cs="宋体"/>
                <w:sz w:val="24"/>
                <w:szCs w:val="24"/>
                <w:lang w:val="en-GB"/>
              </w:rPr>
            </w:pPr>
          </w:p>
        </w:tc>
        <w:tc>
          <w:tcPr>
            <w:tcW w:w="1799" w:type="dxa"/>
            <w:vAlign w:val="center"/>
          </w:tcPr>
          <w:p w14:paraId="2672268C">
            <w:pPr>
              <w:widowControl/>
              <w:adjustRightInd w:val="0"/>
              <w:snapToGrid w:val="0"/>
              <w:jc w:val="left"/>
              <w:rPr>
                <w:rFonts w:hint="default" w:ascii="宋体" w:hAnsi="宋体" w:eastAsia="宋体" w:cs="宋体"/>
                <w:sz w:val="24"/>
                <w:szCs w:val="24"/>
                <w:lang w:val="en-US" w:eastAsia="zh-CN"/>
              </w:rPr>
            </w:pPr>
            <w:r>
              <w:rPr>
                <w:rFonts w:hint="eastAsia" w:ascii="宋体" w:hAnsi="宋体" w:cs="宋体"/>
                <w:sz w:val="24"/>
                <w:szCs w:val="24"/>
                <w:lang w:val="en-US" w:eastAsia="zh-CN"/>
              </w:rPr>
              <w:t>4、湖南汇建</w:t>
            </w:r>
          </w:p>
        </w:tc>
        <w:tc>
          <w:tcPr>
            <w:tcW w:w="5150" w:type="dxa"/>
          </w:tcPr>
          <w:p w14:paraId="28C9C5B2">
            <w:pPr>
              <w:widowControl/>
              <w:adjustRightInd w:val="0"/>
              <w:snapToGrid w:val="0"/>
              <w:jc w:val="both"/>
              <w:rPr>
                <w:rFonts w:hint="eastAsia" w:ascii="宋体" w:hAnsi="宋体" w:eastAsia="宋体" w:cs="宋体"/>
                <w:sz w:val="24"/>
                <w:szCs w:val="24"/>
                <w:lang w:val="en-GB" w:eastAsia="zh-CN"/>
              </w:rPr>
            </w:pPr>
            <w:r>
              <w:rPr>
                <w:rFonts w:hint="eastAsia" w:ascii="宋体" w:hAnsi="宋体" w:cs="宋体"/>
                <w:sz w:val="24"/>
                <w:szCs w:val="24"/>
                <w:lang w:val="en-US" w:eastAsia="zh-CN"/>
              </w:rPr>
              <w:t>湖南汇建</w:t>
            </w:r>
            <w:r>
              <w:rPr>
                <w:rFonts w:hint="eastAsia" w:ascii="宋体" w:hAnsi="宋体" w:eastAsia="宋体" w:cs="宋体"/>
                <w:sz w:val="24"/>
                <w:szCs w:val="24"/>
                <w:lang w:val="en-US" w:eastAsia="zh-CN"/>
              </w:rPr>
              <w:t>于</w:t>
            </w:r>
            <w:r>
              <w:rPr>
                <w:rFonts w:hint="eastAsia" w:ascii="宋体" w:hAnsi="宋体" w:cs="宋体"/>
                <w:sz w:val="24"/>
                <w:szCs w:val="24"/>
                <w:lang w:val="en-US" w:eastAsia="zh-CN"/>
              </w:rPr>
              <w:t>2019</w:t>
            </w:r>
            <w:r>
              <w:rPr>
                <w:rFonts w:hint="eastAsia" w:ascii="宋体" w:hAnsi="宋体" w:eastAsia="宋体" w:cs="宋体"/>
                <w:sz w:val="24"/>
                <w:szCs w:val="24"/>
                <w:lang w:val="en-US" w:eastAsia="zh-CN"/>
              </w:rPr>
              <w:t>年</w:t>
            </w:r>
            <w:r>
              <w:rPr>
                <w:rFonts w:hint="eastAsia" w:ascii="宋体" w:hAnsi="宋体" w:cs="宋体"/>
                <w:sz w:val="24"/>
                <w:szCs w:val="24"/>
                <w:lang w:val="en-US" w:eastAsia="zh-CN"/>
              </w:rPr>
              <w:t>8</w:t>
            </w:r>
            <w:r>
              <w:rPr>
                <w:rFonts w:hint="eastAsia" w:ascii="宋体" w:hAnsi="宋体" w:eastAsia="宋体" w:cs="宋体"/>
                <w:sz w:val="24"/>
                <w:szCs w:val="24"/>
                <w:lang w:val="en-US" w:eastAsia="zh-CN"/>
              </w:rPr>
              <w:t>月成立于湖南省长沙市</w:t>
            </w:r>
            <w:r>
              <w:rPr>
                <w:rFonts w:hint="eastAsia" w:ascii="宋体" w:hAnsi="宋体" w:eastAsia="宋体" w:cs="宋体"/>
                <w:sz w:val="24"/>
                <w:szCs w:val="24"/>
                <w:lang w:val="en-GB" w:eastAsia="zh-CN"/>
              </w:rPr>
              <w:t>，</w:t>
            </w:r>
            <w:r>
              <w:rPr>
                <w:rFonts w:hint="eastAsia" w:ascii="宋体" w:hAnsi="宋体" w:eastAsia="宋体" w:cs="宋体"/>
                <w:sz w:val="24"/>
                <w:szCs w:val="24"/>
                <w:lang w:val="en-US" w:eastAsia="zh-CN"/>
              </w:rPr>
              <w:t>主要以建筑预拌砂浆为主营业务</w:t>
            </w:r>
            <w:r>
              <w:rPr>
                <w:rFonts w:hint="eastAsia" w:ascii="宋体" w:hAnsi="宋体" w:eastAsia="宋体" w:cs="宋体"/>
                <w:sz w:val="24"/>
                <w:szCs w:val="24"/>
                <w:lang w:val="en-GB" w:eastAsia="zh-CN"/>
              </w:rPr>
              <w:t>。</w:t>
            </w:r>
          </w:p>
          <w:p w14:paraId="692E5DC0">
            <w:pPr>
              <w:widowControl/>
              <w:adjustRightInd w:val="0"/>
              <w:snapToGrid w:val="0"/>
              <w:jc w:val="both"/>
              <w:rPr>
                <w:rFonts w:hint="eastAsia" w:ascii="宋体" w:hAnsi="宋体" w:eastAsia="宋体" w:cs="宋体"/>
                <w:sz w:val="24"/>
                <w:szCs w:val="24"/>
                <w:lang w:val="en-US" w:eastAsia="zh-CN"/>
              </w:rPr>
            </w:pPr>
            <w:r>
              <w:rPr>
                <w:rFonts w:hint="eastAsia" w:ascii="宋体" w:hAnsi="宋体" w:cs="宋体"/>
                <w:sz w:val="24"/>
                <w:szCs w:val="24"/>
                <w:lang w:val="en-US" w:eastAsia="zh-CN"/>
              </w:rPr>
              <w:t>湖南汇建</w:t>
            </w:r>
            <w:r>
              <w:rPr>
                <w:rFonts w:hint="eastAsia" w:ascii="宋体" w:hAnsi="宋体" w:eastAsia="宋体" w:cs="宋体"/>
                <w:sz w:val="24"/>
                <w:szCs w:val="24"/>
                <w:lang w:val="en-US" w:eastAsia="zh-CN"/>
              </w:rPr>
              <w:t>最终控制人为湖南建设投资集团有限责任公司，主营从事建设工程施工、建设工程勘察、建设工程设计、房地产开发经营等业务</w:t>
            </w:r>
            <w:r>
              <w:rPr>
                <w:rFonts w:hint="eastAsia" w:ascii="宋体" w:hAnsi="宋体" w:cs="宋体"/>
                <w:sz w:val="24"/>
                <w:szCs w:val="24"/>
                <w:lang w:val="en-US" w:eastAsia="zh-CN"/>
              </w:rPr>
              <w:t>。</w:t>
            </w:r>
          </w:p>
        </w:tc>
      </w:tr>
      <w:tr w14:paraId="0FC7E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809" w:type="dxa"/>
            <w:vMerge w:val="restart"/>
            <w:shd w:val="clear" w:color="auto" w:fill="D9D9D9"/>
            <w:vAlign w:val="center"/>
          </w:tcPr>
          <w:p w14:paraId="0DB99CDF">
            <w:pPr>
              <w:pStyle w:val="3"/>
              <w:jc w:val="center"/>
              <w:rPr>
                <w:rFonts w:hint="eastAsia" w:ascii="宋体" w:hAnsi="宋体" w:eastAsia="宋体" w:cs="宋体"/>
                <w:sz w:val="24"/>
                <w:szCs w:val="24"/>
                <w:lang w:val="en-GB"/>
              </w:rPr>
            </w:pPr>
            <w:r>
              <w:rPr>
                <w:rFonts w:hint="eastAsia" w:ascii="宋体" w:hAnsi="宋体" w:eastAsia="宋体" w:cs="宋体"/>
                <w:sz w:val="24"/>
                <w:szCs w:val="24"/>
                <w:lang w:val="en-GB"/>
              </w:rPr>
              <w:t>简易案件理由（可以单选，也可以多选）</w:t>
            </w:r>
          </w:p>
        </w:tc>
        <w:tc>
          <w:tcPr>
            <w:tcW w:w="6949" w:type="dxa"/>
            <w:gridSpan w:val="2"/>
          </w:tcPr>
          <w:p w14:paraId="4E1DDB38">
            <w:pPr>
              <w:widowControl/>
              <w:adjustRightInd w:val="0"/>
              <w:snapToGrid w:val="0"/>
              <w:jc w:val="left"/>
              <w:rPr>
                <w:rFonts w:hint="eastAsia" w:ascii="宋体" w:hAnsi="宋体" w:eastAsia="宋体" w:cs="宋体"/>
                <w:sz w:val="24"/>
                <w:szCs w:val="24"/>
                <w:lang w:val="en-GB"/>
              </w:rPr>
            </w:pPr>
            <w:r>
              <w:rPr>
                <w:rFonts w:hint="eastAsia" w:ascii="宋体" w:hAnsi="宋体" w:eastAsia="宋体" w:cs="宋体"/>
                <w:sz w:val="24"/>
                <w:szCs w:val="24"/>
                <w:lang w:val="en-GB"/>
              </w:rPr>
              <w:sym w:font="Wingdings" w:char="00FE"/>
            </w:r>
            <w:r>
              <w:rPr>
                <w:rFonts w:hint="eastAsia" w:ascii="宋体" w:hAnsi="宋体" w:eastAsia="宋体" w:cs="宋体"/>
                <w:sz w:val="24"/>
                <w:szCs w:val="24"/>
                <w:lang w:val="en-GB"/>
              </w:rPr>
              <w:t>1.在同一相关市场，所有参与集中的经营者所占市场份额之和小于15%。</w:t>
            </w:r>
          </w:p>
        </w:tc>
      </w:tr>
      <w:tr w14:paraId="481B1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809" w:type="dxa"/>
            <w:vMerge w:val="continue"/>
            <w:shd w:val="clear" w:color="auto" w:fill="D9D9D9"/>
            <w:vAlign w:val="center"/>
          </w:tcPr>
          <w:p w14:paraId="11766554">
            <w:pPr>
              <w:pStyle w:val="3"/>
              <w:jc w:val="center"/>
              <w:rPr>
                <w:rFonts w:hint="eastAsia" w:ascii="宋体" w:hAnsi="宋体" w:eastAsia="宋体" w:cs="宋体"/>
                <w:sz w:val="24"/>
                <w:szCs w:val="24"/>
                <w:lang w:val="en-GB"/>
              </w:rPr>
            </w:pPr>
          </w:p>
        </w:tc>
        <w:tc>
          <w:tcPr>
            <w:tcW w:w="6949" w:type="dxa"/>
            <w:gridSpan w:val="2"/>
          </w:tcPr>
          <w:p w14:paraId="4AE86A5F">
            <w:pPr>
              <w:widowControl/>
              <w:adjustRightInd w:val="0"/>
              <w:snapToGrid w:val="0"/>
              <w:jc w:val="left"/>
              <w:rPr>
                <w:rFonts w:hint="eastAsia" w:ascii="宋体" w:hAnsi="宋体" w:eastAsia="宋体" w:cs="宋体"/>
                <w:sz w:val="24"/>
                <w:szCs w:val="24"/>
                <w:lang w:val="en-GB"/>
              </w:rPr>
            </w:pPr>
            <w:r>
              <w:rPr>
                <w:rFonts w:hint="eastAsia" w:ascii="宋体" w:hAnsi="宋体" w:eastAsia="宋体" w:cs="宋体"/>
                <w:sz w:val="24"/>
                <w:szCs w:val="24"/>
                <w:lang w:val="en-GB"/>
              </w:rPr>
              <w:sym w:font="Wingdings" w:char="00A8"/>
            </w:r>
            <w:r>
              <w:rPr>
                <w:rFonts w:hint="eastAsia" w:ascii="宋体" w:hAnsi="宋体" w:eastAsia="宋体" w:cs="宋体"/>
                <w:sz w:val="24"/>
                <w:szCs w:val="24"/>
                <w:lang w:val="en-GB"/>
              </w:rPr>
              <w:t>2.存在上下游关系的参与集中的经营者，在上下游市场所占的市场份额均小于25%。</w:t>
            </w:r>
          </w:p>
        </w:tc>
      </w:tr>
      <w:tr w14:paraId="72217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Merge w:val="continue"/>
            <w:shd w:val="clear" w:color="auto" w:fill="D9D9D9"/>
            <w:vAlign w:val="center"/>
          </w:tcPr>
          <w:p w14:paraId="7E0B7A3A">
            <w:pPr>
              <w:pStyle w:val="3"/>
              <w:jc w:val="center"/>
              <w:rPr>
                <w:rFonts w:hint="eastAsia" w:ascii="宋体" w:hAnsi="宋体" w:eastAsia="宋体" w:cs="宋体"/>
                <w:sz w:val="24"/>
                <w:szCs w:val="24"/>
                <w:lang w:val="en-GB"/>
              </w:rPr>
            </w:pPr>
          </w:p>
        </w:tc>
        <w:tc>
          <w:tcPr>
            <w:tcW w:w="6949" w:type="dxa"/>
            <w:gridSpan w:val="2"/>
          </w:tcPr>
          <w:p w14:paraId="44925ED6">
            <w:pPr>
              <w:widowControl/>
              <w:adjustRightInd w:val="0"/>
              <w:snapToGrid w:val="0"/>
              <w:jc w:val="left"/>
              <w:rPr>
                <w:rFonts w:hint="eastAsia" w:ascii="宋体" w:hAnsi="宋体" w:eastAsia="宋体" w:cs="宋体"/>
                <w:sz w:val="24"/>
                <w:szCs w:val="24"/>
                <w:lang w:val="en-GB"/>
              </w:rPr>
            </w:pPr>
            <w:r>
              <w:rPr>
                <w:rFonts w:hint="eastAsia" w:ascii="宋体" w:hAnsi="宋体" w:eastAsia="宋体" w:cs="宋体"/>
                <w:sz w:val="24"/>
                <w:szCs w:val="24"/>
                <w:lang w:val="en-GB"/>
              </w:rPr>
              <w:sym w:font="Wingdings" w:char="00A8"/>
            </w:r>
            <w:r>
              <w:rPr>
                <w:rFonts w:hint="eastAsia" w:ascii="宋体" w:hAnsi="宋体" w:eastAsia="宋体" w:cs="宋体"/>
                <w:sz w:val="24"/>
                <w:szCs w:val="24"/>
                <w:lang w:val="en-GB"/>
              </w:rPr>
              <w:t>3.不在同一相关市场、也不存在上下游关系的参与集中的经营者，在与交易有关的每个市场所占的份额均小于25%。</w:t>
            </w:r>
          </w:p>
        </w:tc>
      </w:tr>
      <w:tr w14:paraId="11C2A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809" w:type="dxa"/>
            <w:vMerge w:val="continue"/>
            <w:shd w:val="clear" w:color="auto" w:fill="D9D9D9"/>
            <w:vAlign w:val="center"/>
          </w:tcPr>
          <w:p w14:paraId="225E393E">
            <w:pPr>
              <w:pStyle w:val="3"/>
              <w:jc w:val="center"/>
              <w:rPr>
                <w:rFonts w:hint="eastAsia" w:ascii="宋体" w:hAnsi="宋体" w:eastAsia="宋体" w:cs="宋体"/>
                <w:sz w:val="24"/>
                <w:szCs w:val="24"/>
                <w:lang w:val="en-GB"/>
              </w:rPr>
            </w:pPr>
          </w:p>
        </w:tc>
        <w:tc>
          <w:tcPr>
            <w:tcW w:w="6949" w:type="dxa"/>
            <w:gridSpan w:val="2"/>
          </w:tcPr>
          <w:p w14:paraId="45912364">
            <w:pPr>
              <w:widowControl/>
              <w:adjustRightInd w:val="0"/>
              <w:snapToGrid w:val="0"/>
              <w:jc w:val="left"/>
              <w:rPr>
                <w:rFonts w:hint="eastAsia" w:ascii="宋体" w:hAnsi="宋体" w:eastAsia="宋体" w:cs="宋体"/>
                <w:sz w:val="24"/>
                <w:szCs w:val="24"/>
                <w:lang w:val="en-GB"/>
              </w:rPr>
            </w:pPr>
            <w:r>
              <w:rPr>
                <w:rFonts w:hint="eastAsia" w:ascii="宋体" w:hAnsi="宋体" w:eastAsia="宋体" w:cs="宋体"/>
                <w:sz w:val="24"/>
                <w:szCs w:val="24"/>
                <w:lang w:val="en-GB"/>
              </w:rPr>
              <w:sym w:font="Wingdings" w:char="00A8"/>
            </w:r>
            <w:r>
              <w:rPr>
                <w:rFonts w:hint="eastAsia" w:ascii="宋体" w:hAnsi="宋体" w:eastAsia="宋体" w:cs="宋体"/>
                <w:sz w:val="24"/>
                <w:szCs w:val="24"/>
                <w:lang w:val="en-GB"/>
              </w:rPr>
              <w:t>4.参与集中的经营者在中国境外设立合营企业，合营企业不在中国境内从事经济活动。</w:t>
            </w:r>
          </w:p>
        </w:tc>
      </w:tr>
      <w:tr w14:paraId="0E2C9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1809" w:type="dxa"/>
            <w:vMerge w:val="continue"/>
            <w:shd w:val="clear" w:color="auto" w:fill="D9D9D9"/>
            <w:vAlign w:val="center"/>
          </w:tcPr>
          <w:p w14:paraId="7B3A65CC">
            <w:pPr>
              <w:pStyle w:val="3"/>
              <w:jc w:val="center"/>
              <w:rPr>
                <w:rFonts w:hint="eastAsia" w:ascii="宋体" w:hAnsi="宋体" w:eastAsia="宋体" w:cs="宋体"/>
                <w:sz w:val="24"/>
                <w:szCs w:val="24"/>
                <w:lang w:val="en-GB"/>
              </w:rPr>
            </w:pPr>
          </w:p>
        </w:tc>
        <w:tc>
          <w:tcPr>
            <w:tcW w:w="6949" w:type="dxa"/>
            <w:gridSpan w:val="2"/>
          </w:tcPr>
          <w:p w14:paraId="2A40FC28">
            <w:pPr>
              <w:widowControl/>
              <w:adjustRightInd w:val="0"/>
              <w:snapToGrid w:val="0"/>
              <w:jc w:val="left"/>
              <w:rPr>
                <w:rFonts w:hint="eastAsia" w:ascii="宋体" w:hAnsi="宋体" w:eastAsia="宋体" w:cs="宋体"/>
                <w:sz w:val="24"/>
                <w:szCs w:val="24"/>
                <w:lang w:val="en-GB"/>
              </w:rPr>
            </w:pPr>
            <w:r>
              <w:rPr>
                <w:rFonts w:hint="eastAsia" w:ascii="宋体" w:hAnsi="宋体" w:eastAsia="宋体" w:cs="宋体"/>
                <w:sz w:val="24"/>
                <w:szCs w:val="24"/>
                <w:lang w:val="en-GB"/>
              </w:rPr>
              <w:sym w:font="Wingdings" w:char="00A8"/>
            </w:r>
            <w:r>
              <w:rPr>
                <w:rFonts w:hint="eastAsia" w:ascii="宋体" w:hAnsi="宋体" w:eastAsia="宋体" w:cs="宋体"/>
                <w:sz w:val="24"/>
                <w:szCs w:val="24"/>
                <w:lang w:val="en-GB"/>
              </w:rPr>
              <w:t>5.参与集中的经营者收购境外企业股权或资产的，该境外企业不在中国境内从事经济活动。</w:t>
            </w:r>
          </w:p>
        </w:tc>
      </w:tr>
      <w:tr w14:paraId="47048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809" w:type="dxa"/>
            <w:vMerge w:val="continue"/>
            <w:shd w:val="clear" w:color="auto" w:fill="D9D9D9"/>
            <w:vAlign w:val="center"/>
          </w:tcPr>
          <w:p w14:paraId="06E66CA6">
            <w:pPr>
              <w:pStyle w:val="3"/>
              <w:jc w:val="center"/>
              <w:rPr>
                <w:rFonts w:hint="eastAsia" w:ascii="宋体" w:hAnsi="宋体" w:eastAsia="宋体" w:cs="宋体"/>
                <w:sz w:val="24"/>
                <w:szCs w:val="24"/>
                <w:lang w:val="en-GB"/>
              </w:rPr>
            </w:pPr>
          </w:p>
        </w:tc>
        <w:tc>
          <w:tcPr>
            <w:tcW w:w="6949" w:type="dxa"/>
            <w:gridSpan w:val="2"/>
          </w:tcPr>
          <w:p w14:paraId="45ADDA59">
            <w:pPr>
              <w:widowControl/>
              <w:adjustRightInd w:val="0"/>
              <w:snapToGrid w:val="0"/>
              <w:jc w:val="left"/>
              <w:rPr>
                <w:rFonts w:hint="eastAsia" w:ascii="宋体" w:hAnsi="宋体" w:eastAsia="宋体" w:cs="宋体"/>
                <w:sz w:val="24"/>
                <w:szCs w:val="24"/>
                <w:lang w:val="en-GB"/>
              </w:rPr>
            </w:pPr>
            <w:r>
              <w:rPr>
                <w:rFonts w:hint="eastAsia" w:ascii="宋体" w:hAnsi="宋体" w:eastAsia="宋体" w:cs="宋体"/>
                <w:sz w:val="24"/>
                <w:szCs w:val="24"/>
                <w:lang w:val="en-GB"/>
              </w:rPr>
              <w:sym w:font="Wingdings" w:char="00A8"/>
            </w:r>
            <w:r>
              <w:rPr>
                <w:rFonts w:hint="eastAsia" w:ascii="宋体" w:hAnsi="宋体" w:eastAsia="宋体" w:cs="宋体"/>
                <w:sz w:val="24"/>
                <w:szCs w:val="24"/>
                <w:lang w:val="en-GB"/>
              </w:rPr>
              <w:t>6.由两个以上的经营者共同控制的合营企业，通过集中被其中一个或一个以上经营者控制。</w:t>
            </w:r>
          </w:p>
        </w:tc>
      </w:tr>
      <w:tr w14:paraId="0D123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shd w:val="clear" w:color="auto" w:fill="D9D9D9"/>
            <w:vAlign w:val="center"/>
          </w:tcPr>
          <w:p w14:paraId="6A310AB2">
            <w:pPr>
              <w:adjustRightInd w:val="0"/>
              <w:snapToGrid w:val="0"/>
              <w:spacing w:after="0"/>
              <w:jc w:val="both"/>
              <w:rPr>
                <w:rFonts w:hint="eastAsia" w:ascii="宋体" w:hAnsi="宋体" w:eastAsia="宋体" w:cs="宋体"/>
                <w:color w:val="000000"/>
                <w:sz w:val="24"/>
                <w:szCs w:val="24"/>
                <w:lang w:val="en-GB" w:eastAsia="zh-CN" w:bidi="ar-AE"/>
              </w:rPr>
            </w:pPr>
            <w:r>
              <w:rPr>
                <w:rFonts w:hint="eastAsia" w:ascii="宋体" w:hAnsi="宋体" w:eastAsia="宋体" w:cs="宋体"/>
                <w:color w:val="000000"/>
                <w:sz w:val="24"/>
                <w:szCs w:val="24"/>
                <w:lang w:val="en-GB" w:eastAsia="zh-CN" w:bidi="ar-AE"/>
              </w:rPr>
              <w:t>备注</w:t>
            </w:r>
          </w:p>
        </w:tc>
        <w:tc>
          <w:tcPr>
            <w:tcW w:w="6949" w:type="dxa"/>
            <w:gridSpan w:val="2"/>
          </w:tcPr>
          <w:p w14:paraId="32A7D945">
            <w:pPr>
              <w:adjustRightInd w:val="0"/>
              <w:snapToGrid w:val="0"/>
              <w:spacing w:after="0"/>
              <w:jc w:val="both"/>
              <w:rPr>
                <w:rFonts w:hint="eastAsia" w:ascii="宋体" w:hAnsi="宋体" w:eastAsia="宋体" w:cs="宋体"/>
                <w:b/>
                <w:bCs/>
                <w:sz w:val="24"/>
                <w:szCs w:val="24"/>
                <w:lang w:val="en-GB" w:eastAsia="zh-CN"/>
              </w:rPr>
            </w:pPr>
            <w:r>
              <w:rPr>
                <w:rFonts w:hint="eastAsia" w:ascii="宋体" w:hAnsi="宋体" w:eastAsia="宋体" w:cs="宋体"/>
                <w:b/>
                <w:bCs/>
                <w:sz w:val="24"/>
                <w:szCs w:val="24"/>
                <w:lang w:val="en-US" w:eastAsia="zh-CN"/>
              </w:rPr>
              <w:t>横向重叠</w:t>
            </w:r>
            <w:r>
              <w:rPr>
                <w:rFonts w:hint="eastAsia" w:ascii="宋体" w:hAnsi="宋体" w:eastAsia="宋体" w:cs="宋体"/>
                <w:b/>
                <w:bCs/>
                <w:sz w:val="24"/>
                <w:szCs w:val="24"/>
                <w:lang w:val="en-GB" w:eastAsia="zh-CN"/>
              </w:rPr>
              <w:t>：</w:t>
            </w:r>
          </w:p>
          <w:p w14:paraId="332001BF">
            <w:pPr>
              <w:adjustRightInd w:val="0"/>
              <w:snapToGrid w:val="0"/>
              <w:spacing w:after="0"/>
              <w:jc w:val="both"/>
              <w:rPr>
                <w:rFonts w:hint="eastAsia" w:ascii="宋体" w:hAnsi="宋体" w:eastAsia="宋体" w:cs="宋体"/>
                <w:sz w:val="24"/>
                <w:szCs w:val="24"/>
                <w:lang w:val="en-GB" w:eastAsia="zh-CN"/>
              </w:rPr>
            </w:pPr>
            <w:r>
              <w:rPr>
                <w:rFonts w:hint="eastAsia" w:ascii="宋体" w:hAnsi="宋体" w:cs="宋体"/>
                <w:sz w:val="24"/>
                <w:szCs w:val="24"/>
                <w:lang w:val="en-US" w:eastAsia="zh-CN"/>
              </w:rPr>
              <w:t>1.</w:t>
            </w:r>
            <w:r>
              <w:rPr>
                <w:rFonts w:hint="eastAsia" w:ascii="宋体" w:hAnsi="宋体" w:eastAsia="宋体" w:cs="宋体"/>
                <w:sz w:val="24"/>
                <w:szCs w:val="24"/>
                <w:lang w:val="en-GB" w:eastAsia="zh-CN"/>
              </w:rPr>
              <w:t>202</w:t>
            </w:r>
            <w:r>
              <w:rPr>
                <w:rFonts w:hint="eastAsia" w:ascii="宋体" w:hAnsi="宋体" w:eastAsia="宋体" w:cs="宋体"/>
                <w:sz w:val="24"/>
                <w:szCs w:val="24"/>
                <w:lang w:val="en-US" w:eastAsia="zh-CN"/>
              </w:rPr>
              <w:t>3</w:t>
            </w:r>
            <w:r>
              <w:rPr>
                <w:rFonts w:hint="eastAsia" w:ascii="宋体" w:hAnsi="宋体" w:eastAsia="宋体" w:cs="宋体"/>
                <w:sz w:val="24"/>
                <w:szCs w:val="24"/>
                <w:lang w:val="en-GB" w:eastAsia="zh-CN"/>
              </w:rPr>
              <w:t>年</w:t>
            </w:r>
            <w:r>
              <w:rPr>
                <w:rFonts w:hint="eastAsia" w:ascii="宋体" w:hAnsi="宋体" w:cs="宋体"/>
                <w:sz w:val="24"/>
                <w:szCs w:val="24"/>
                <w:lang w:val="en-US" w:eastAsia="zh-CN"/>
              </w:rPr>
              <w:t>湘潭市雨湖区200公里范围</w:t>
            </w:r>
            <w:r>
              <w:rPr>
                <w:rFonts w:hint="eastAsia" w:ascii="宋体" w:hAnsi="宋体" w:eastAsia="宋体" w:cs="宋体"/>
                <w:sz w:val="24"/>
                <w:szCs w:val="24"/>
                <w:lang w:val="en-US" w:eastAsia="zh-CN"/>
              </w:rPr>
              <w:t>内普通</w:t>
            </w:r>
            <w:bookmarkStart w:id="0" w:name="_GoBack"/>
            <w:bookmarkEnd w:id="0"/>
            <w:r>
              <w:rPr>
                <w:rFonts w:hint="eastAsia" w:ascii="宋体" w:hAnsi="宋体" w:eastAsia="宋体" w:cs="宋体"/>
                <w:sz w:val="24"/>
                <w:szCs w:val="24"/>
                <w:lang w:val="en-US" w:eastAsia="zh-CN"/>
              </w:rPr>
              <w:t>砂浆</w:t>
            </w:r>
            <w:r>
              <w:rPr>
                <w:rFonts w:hint="eastAsia" w:ascii="宋体" w:hAnsi="宋体" w:eastAsia="宋体" w:cs="宋体"/>
                <w:sz w:val="24"/>
                <w:szCs w:val="24"/>
                <w:lang w:val="en-GB" w:eastAsia="zh-CN"/>
              </w:rPr>
              <w:t>市场：</w:t>
            </w:r>
          </w:p>
          <w:p w14:paraId="692A492E">
            <w:pPr>
              <w:adjustRightInd w:val="0"/>
              <w:snapToGrid w:val="0"/>
              <w:spacing w:after="0"/>
              <w:jc w:val="both"/>
              <w:rPr>
                <w:rFonts w:hint="eastAsia" w:ascii="宋体" w:hAnsi="宋体" w:eastAsia="宋体" w:cs="宋体"/>
                <w:sz w:val="24"/>
                <w:szCs w:val="24"/>
                <w:lang w:val="en-GB" w:eastAsia="zh-CN"/>
              </w:rPr>
            </w:pPr>
            <w:r>
              <w:rPr>
                <w:rFonts w:hint="eastAsia" w:ascii="宋体" w:hAnsi="宋体" w:eastAsia="宋体" w:cs="宋体"/>
                <w:sz w:val="24"/>
                <w:szCs w:val="24"/>
                <w:lang w:val="en-US" w:eastAsia="zh-CN"/>
              </w:rPr>
              <w:t>科顺股份</w:t>
            </w:r>
            <w:r>
              <w:rPr>
                <w:rFonts w:hint="eastAsia" w:ascii="宋体" w:hAnsi="宋体" w:eastAsia="宋体" w:cs="宋体"/>
                <w:sz w:val="24"/>
                <w:szCs w:val="24"/>
                <w:lang w:val="en-GB" w:eastAsia="zh-CN"/>
              </w:rPr>
              <w:t>：</w:t>
            </w:r>
            <w:r>
              <w:rPr>
                <w:rFonts w:hint="eastAsia" w:ascii="宋体" w:hAnsi="宋体" w:eastAsia="宋体" w:cs="宋体"/>
                <w:sz w:val="24"/>
                <w:szCs w:val="24"/>
                <w:lang w:val="en-US" w:eastAsia="zh-CN"/>
              </w:rPr>
              <w:t>0</w:t>
            </w:r>
            <w:r>
              <w:rPr>
                <w:rFonts w:hint="eastAsia" w:ascii="宋体" w:hAnsi="宋体" w:eastAsia="宋体" w:cs="宋体"/>
                <w:sz w:val="24"/>
                <w:szCs w:val="24"/>
                <w:lang w:val="en-GB" w:eastAsia="zh-CN"/>
              </w:rPr>
              <w:t>-</w:t>
            </w:r>
            <w:r>
              <w:rPr>
                <w:rFonts w:hint="eastAsia" w:ascii="宋体" w:hAnsi="宋体" w:eastAsia="宋体" w:cs="宋体"/>
                <w:sz w:val="24"/>
                <w:szCs w:val="24"/>
                <w:lang w:val="en-US" w:eastAsia="zh-CN"/>
              </w:rPr>
              <w:t>5</w:t>
            </w:r>
            <w:r>
              <w:rPr>
                <w:rFonts w:hint="eastAsia" w:ascii="宋体" w:hAnsi="宋体" w:eastAsia="宋体" w:cs="宋体"/>
                <w:sz w:val="24"/>
                <w:szCs w:val="24"/>
                <w:lang w:val="en-GB" w:eastAsia="zh-CN"/>
              </w:rPr>
              <w:t>%</w:t>
            </w:r>
          </w:p>
          <w:p w14:paraId="5A2E029B">
            <w:pPr>
              <w:adjustRightInd w:val="0"/>
              <w:snapToGrid w:val="0"/>
              <w:spacing w:after="0"/>
              <w:jc w:val="both"/>
              <w:rPr>
                <w:rFonts w:hint="default" w:ascii="宋体" w:hAnsi="宋体" w:eastAsia="宋体" w:cs="宋体"/>
                <w:sz w:val="24"/>
                <w:szCs w:val="24"/>
                <w:lang w:val="en-US" w:eastAsia="zh-CN"/>
              </w:rPr>
            </w:pPr>
            <w:r>
              <w:rPr>
                <w:rFonts w:hint="eastAsia" w:ascii="宋体" w:hAnsi="宋体" w:cs="宋体"/>
                <w:sz w:val="24"/>
                <w:szCs w:val="24"/>
                <w:lang w:val="en-US" w:eastAsia="zh-CN"/>
              </w:rPr>
              <w:t>湖南汇建：0-5%</w:t>
            </w:r>
          </w:p>
          <w:p w14:paraId="3EB21644">
            <w:pPr>
              <w:adjustRightInd w:val="0"/>
              <w:snapToGrid w:val="0"/>
              <w:spacing w:after="0"/>
              <w:jc w:val="both"/>
              <w:rPr>
                <w:rFonts w:hint="eastAsia" w:ascii="宋体" w:hAnsi="宋体" w:eastAsia="宋体" w:cs="宋体"/>
                <w:sz w:val="24"/>
                <w:szCs w:val="24"/>
                <w:lang w:val="en-GB" w:eastAsia="zh-CN"/>
              </w:rPr>
            </w:pPr>
            <w:r>
              <w:rPr>
                <w:rFonts w:hint="eastAsia" w:ascii="宋体" w:hAnsi="宋体" w:cs="宋体"/>
                <w:sz w:val="24"/>
                <w:szCs w:val="24"/>
                <w:lang w:val="en-US" w:eastAsia="zh-CN"/>
              </w:rPr>
              <w:t>双方合计</w:t>
            </w:r>
            <w:r>
              <w:rPr>
                <w:rFonts w:hint="eastAsia" w:ascii="宋体" w:hAnsi="宋体" w:eastAsia="宋体" w:cs="宋体"/>
                <w:sz w:val="24"/>
                <w:szCs w:val="24"/>
                <w:lang w:val="en-GB" w:eastAsia="zh-CN"/>
              </w:rPr>
              <w:t>：</w:t>
            </w:r>
            <w:r>
              <w:rPr>
                <w:rFonts w:hint="eastAsia" w:ascii="宋体" w:hAnsi="宋体" w:eastAsia="宋体" w:cs="宋体"/>
                <w:sz w:val="24"/>
                <w:szCs w:val="24"/>
                <w:lang w:val="en-US" w:eastAsia="zh-CN"/>
              </w:rPr>
              <w:t>0</w:t>
            </w:r>
            <w:r>
              <w:rPr>
                <w:rFonts w:hint="eastAsia" w:ascii="宋体" w:hAnsi="宋体" w:eastAsia="宋体" w:cs="宋体"/>
                <w:sz w:val="24"/>
                <w:szCs w:val="24"/>
                <w:lang w:val="en-GB" w:eastAsia="zh-CN"/>
              </w:rPr>
              <w:t>-5%</w:t>
            </w:r>
          </w:p>
          <w:p w14:paraId="57C18F5F">
            <w:pPr>
              <w:adjustRightInd w:val="0"/>
              <w:snapToGrid w:val="0"/>
              <w:spacing w:after="0"/>
              <w:jc w:val="both"/>
              <w:rPr>
                <w:rFonts w:hint="eastAsia" w:ascii="宋体" w:hAnsi="宋体" w:eastAsia="宋体" w:cs="宋体"/>
                <w:sz w:val="24"/>
                <w:szCs w:val="24"/>
                <w:lang w:val="en-GB" w:eastAsia="zh-CN"/>
              </w:rPr>
            </w:pPr>
          </w:p>
          <w:p w14:paraId="5D9045C9">
            <w:pPr>
              <w:adjustRightInd w:val="0"/>
              <w:snapToGrid w:val="0"/>
              <w:spacing w:after="0"/>
              <w:jc w:val="both"/>
              <w:rPr>
                <w:rFonts w:hint="eastAsia" w:ascii="宋体" w:hAnsi="宋体" w:eastAsia="宋体" w:cs="宋体"/>
                <w:sz w:val="24"/>
                <w:szCs w:val="24"/>
                <w:lang w:val="en-GB" w:eastAsia="zh-CN"/>
              </w:rPr>
            </w:pPr>
            <w:r>
              <w:rPr>
                <w:rFonts w:hint="eastAsia" w:ascii="宋体" w:hAnsi="宋体" w:cs="宋体"/>
                <w:sz w:val="24"/>
                <w:szCs w:val="24"/>
                <w:lang w:val="en-US" w:eastAsia="zh-CN"/>
              </w:rPr>
              <w:t>2.</w:t>
            </w:r>
            <w:r>
              <w:rPr>
                <w:rFonts w:hint="eastAsia" w:ascii="宋体" w:hAnsi="宋体" w:eastAsia="宋体" w:cs="宋体"/>
                <w:sz w:val="24"/>
                <w:szCs w:val="24"/>
                <w:lang w:val="en-GB" w:eastAsia="zh-CN"/>
              </w:rPr>
              <w:t>202</w:t>
            </w:r>
            <w:r>
              <w:rPr>
                <w:rFonts w:hint="eastAsia" w:ascii="宋体" w:hAnsi="宋体" w:eastAsia="宋体" w:cs="宋体"/>
                <w:sz w:val="24"/>
                <w:szCs w:val="24"/>
                <w:lang w:val="en-US" w:eastAsia="zh-CN"/>
              </w:rPr>
              <w:t>3</w:t>
            </w:r>
            <w:r>
              <w:rPr>
                <w:rFonts w:hint="eastAsia" w:ascii="宋体" w:hAnsi="宋体" w:eastAsia="宋体" w:cs="宋体"/>
                <w:sz w:val="24"/>
                <w:szCs w:val="24"/>
                <w:lang w:val="en-GB" w:eastAsia="zh-CN"/>
              </w:rPr>
              <w:t>年中国</w:t>
            </w:r>
            <w:r>
              <w:rPr>
                <w:rFonts w:hint="eastAsia" w:ascii="宋体" w:hAnsi="宋体" w:eastAsia="宋体" w:cs="宋体"/>
                <w:sz w:val="24"/>
                <w:szCs w:val="24"/>
                <w:lang w:val="en-US" w:eastAsia="zh-CN"/>
              </w:rPr>
              <w:t>境内特种砂浆</w:t>
            </w:r>
            <w:r>
              <w:rPr>
                <w:rFonts w:hint="eastAsia" w:ascii="宋体" w:hAnsi="宋体" w:eastAsia="宋体" w:cs="宋体"/>
                <w:sz w:val="24"/>
                <w:szCs w:val="24"/>
                <w:lang w:val="en-GB" w:eastAsia="zh-CN"/>
              </w:rPr>
              <w:t>市场：</w:t>
            </w:r>
          </w:p>
          <w:p w14:paraId="47B0B334">
            <w:pPr>
              <w:adjustRightInd w:val="0"/>
              <w:snapToGrid w:val="0"/>
              <w:spacing w:after="0"/>
              <w:jc w:val="both"/>
              <w:rPr>
                <w:rFonts w:hint="eastAsia" w:ascii="宋体" w:hAnsi="宋体" w:eastAsia="宋体" w:cs="宋体"/>
                <w:sz w:val="24"/>
                <w:szCs w:val="24"/>
                <w:lang w:val="en-GB" w:eastAsia="zh-CN"/>
              </w:rPr>
            </w:pPr>
            <w:r>
              <w:rPr>
                <w:rFonts w:hint="eastAsia" w:ascii="宋体" w:hAnsi="宋体" w:eastAsia="宋体" w:cs="宋体"/>
                <w:sz w:val="24"/>
                <w:szCs w:val="24"/>
                <w:lang w:val="en-US" w:eastAsia="zh-CN"/>
              </w:rPr>
              <w:t>科顺股份</w:t>
            </w:r>
            <w:r>
              <w:rPr>
                <w:rFonts w:hint="eastAsia" w:ascii="宋体" w:hAnsi="宋体" w:eastAsia="宋体" w:cs="宋体"/>
                <w:sz w:val="24"/>
                <w:szCs w:val="24"/>
                <w:lang w:val="en-GB" w:eastAsia="zh-CN"/>
              </w:rPr>
              <w:t>：</w:t>
            </w:r>
            <w:r>
              <w:rPr>
                <w:rFonts w:hint="eastAsia" w:ascii="宋体" w:hAnsi="宋体" w:eastAsia="宋体" w:cs="宋体"/>
                <w:sz w:val="24"/>
                <w:szCs w:val="24"/>
                <w:lang w:val="en-US" w:eastAsia="zh-CN"/>
              </w:rPr>
              <w:t>0</w:t>
            </w:r>
            <w:r>
              <w:rPr>
                <w:rFonts w:hint="eastAsia" w:ascii="宋体" w:hAnsi="宋体" w:eastAsia="宋体" w:cs="宋体"/>
                <w:sz w:val="24"/>
                <w:szCs w:val="24"/>
                <w:lang w:val="en-GB" w:eastAsia="zh-CN"/>
              </w:rPr>
              <w:t>-</w:t>
            </w:r>
            <w:r>
              <w:rPr>
                <w:rFonts w:hint="eastAsia" w:ascii="宋体" w:hAnsi="宋体" w:eastAsia="宋体" w:cs="宋体"/>
                <w:sz w:val="24"/>
                <w:szCs w:val="24"/>
                <w:lang w:val="en-US" w:eastAsia="zh-CN"/>
              </w:rPr>
              <w:t>5</w:t>
            </w:r>
            <w:r>
              <w:rPr>
                <w:rFonts w:hint="eastAsia" w:ascii="宋体" w:hAnsi="宋体" w:eastAsia="宋体" w:cs="宋体"/>
                <w:sz w:val="24"/>
                <w:szCs w:val="24"/>
                <w:lang w:val="en-GB" w:eastAsia="zh-CN"/>
              </w:rPr>
              <w:t>%</w:t>
            </w:r>
          </w:p>
          <w:p w14:paraId="4080ABDE">
            <w:pPr>
              <w:adjustRightInd w:val="0"/>
              <w:snapToGrid w:val="0"/>
              <w:spacing w:after="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湖南汇建：0-5%</w:t>
            </w:r>
          </w:p>
          <w:p w14:paraId="6819E49F">
            <w:pPr>
              <w:adjustRightInd w:val="0"/>
              <w:snapToGrid w:val="0"/>
              <w:spacing w:after="0"/>
              <w:jc w:val="both"/>
              <w:rPr>
                <w:rFonts w:hint="eastAsia" w:ascii="宋体" w:hAnsi="宋体" w:eastAsia="宋体" w:cs="宋体"/>
                <w:sz w:val="24"/>
                <w:szCs w:val="24"/>
                <w:lang w:val="en-GB" w:eastAsia="zh-CN"/>
              </w:rPr>
            </w:pPr>
            <w:r>
              <w:rPr>
                <w:rFonts w:hint="eastAsia" w:ascii="宋体" w:hAnsi="宋体" w:cs="宋体"/>
                <w:sz w:val="24"/>
                <w:szCs w:val="24"/>
                <w:lang w:val="en-US" w:eastAsia="zh-CN"/>
              </w:rPr>
              <w:t>双方合计</w:t>
            </w:r>
            <w:r>
              <w:rPr>
                <w:rFonts w:hint="eastAsia" w:ascii="宋体" w:hAnsi="宋体" w:eastAsia="宋体" w:cs="宋体"/>
                <w:sz w:val="24"/>
                <w:szCs w:val="24"/>
                <w:lang w:val="en-GB" w:eastAsia="zh-CN"/>
              </w:rPr>
              <w:t>：</w:t>
            </w:r>
            <w:r>
              <w:rPr>
                <w:rFonts w:hint="eastAsia" w:ascii="宋体" w:hAnsi="宋体" w:eastAsia="宋体" w:cs="宋体"/>
                <w:sz w:val="24"/>
                <w:szCs w:val="24"/>
                <w:lang w:val="en-US" w:eastAsia="zh-CN"/>
              </w:rPr>
              <w:t>0</w:t>
            </w:r>
            <w:r>
              <w:rPr>
                <w:rFonts w:hint="eastAsia" w:ascii="宋体" w:hAnsi="宋体" w:eastAsia="宋体" w:cs="宋体"/>
                <w:sz w:val="24"/>
                <w:szCs w:val="24"/>
                <w:lang w:val="en-GB" w:eastAsia="zh-CN"/>
              </w:rPr>
              <w:t>-5%</w:t>
            </w:r>
          </w:p>
        </w:tc>
      </w:tr>
    </w:tbl>
    <w:p w14:paraId="3762C58D">
      <w:pPr>
        <w:rPr>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balanceSingleByteDoubleByteWidth/>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Y0M2VlMGU1YTFmYzA3Y2E5NmNjNGNlM2RlNTMxNzAifQ=="/>
  </w:docVars>
  <w:rsids>
    <w:rsidRoot w:val="0C8B2C38"/>
    <w:rsid w:val="000D0CBB"/>
    <w:rsid w:val="00144573"/>
    <w:rsid w:val="004C0647"/>
    <w:rsid w:val="004C4098"/>
    <w:rsid w:val="00603ED5"/>
    <w:rsid w:val="006F5DEE"/>
    <w:rsid w:val="00743758"/>
    <w:rsid w:val="00841656"/>
    <w:rsid w:val="009A22FF"/>
    <w:rsid w:val="00B31A4C"/>
    <w:rsid w:val="00C32C11"/>
    <w:rsid w:val="00CD4B45"/>
    <w:rsid w:val="00D14AB6"/>
    <w:rsid w:val="00DF77C8"/>
    <w:rsid w:val="014A4B87"/>
    <w:rsid w:val="01BB1B40"/>
    <w:rsid w:val="02233166"/>
    <w:rsid w:val="02804755"/>
    <w:rsid w:val="02AB73CE"/>
    <w:rsid w:val="03287A7B"/>
    <w:rsid w:val="038732ED"/>
    <w:rsid w:val="0415744D"/>
    <w:rsid w:val="042A4A7D"/>
    <w:rsid w:val="047E3B96"/>
    <w:rsid w:val="05685045"/>
    <w:rsid w:val="0582611A"/>
    <w:rsid w:val="059C0E9E"/>
    <w:rsid w:val="06795796"/>
    <w:rsid w:val="06C770D9"/>
    <w:rsid w:val="06FF6413"/>
    <w:rsid w:val="07090219"/>
    <w:rsid w:val="07334162"/>
    <w:rsid w:val="08F435C9"/>
    <w:rsid w:val="09604376"/>
    <w:rsid w:val="0A193C90"/>
    <w:rsid w:val="0A3E36F7"/>
    <w:rsid w:val="0AD54F6B"/>
    <w:rsid w:val="0AF73FD1"/>
    <w:rsid w:val="0C3E4610"/>
    <w:rsid w:val="0C8B2C38"/>
    <w:rsid w:val="0CAB2694"/>
    <w:rsid w:val="0D904269"/>
    <w:rsid w:val="0E39220B"/>
    <w:rsid w:val="0E4F7C80"/>
    <w:rsid w:val="100E36FD"/>
    <w:rsid w:val="10141182"/>
    <w:rsid w:val="101B4FA9"/>
    <w:rsid w:val="10235B83"/>
    <w:rsid w:val="10467A3D"/>
    <w:rsid w:val="1077526D"/>
    <w:rsid w:val="108470BF"/>
    <w:rsid w:val="10847597"/>
    <w:rsid w:val="10CC745F"/>
    <w:rsid w:val="10D601E5"/>
    <w:rsid w:val="111E4E68"/>
    <w:rsid w:val="11A7085B"/>
    <w:rsid w:val="12840D37"/>
    <w:rsid w:val="13B63B26"/>
    <w:rsid w:val="14691370"/>
    <w:rsid w:val="14AE3227"/>
    <w:rsid w:val="156E5557"/>
    <w:rsid w:val="15B66837"/>
    <w:rsid w:val="17D063CA"/>
    <w:rsid w:val="181124A2"/>
    <w:rsid w:val="1833416F"/>
    <w:rsid w:val="1A271AB1"/>
    <w:rsid w:val="1A310B82"/>
    <w:rsid w:val="1BD83AE2"/>
    <w:rsid w:val="1C0C71B1"/>
    <w:rsid w:val="1CF10155"/>
    <w:rsid w:val="1CFA2265"/>
    <w:rsid w:val="1E641526"/>
    <w:rsid w:val="1F04767C"/>
    <w:rsid w:val="1F146169"/>
    <w:rsid w:val="20285387"/>
    <w:rsid w:val="20416EAC"/>
    <w:rsid w:val="224F1BA5"/>
    <w:rsid w:val="22851A6B"/>
    <w:rsid w:val="23A11524"/>
    <w:rsid w:val="23E10F23"/>
    <w:rsid w:val="24813615"/>
    <w:rsid w:val="248A5117"/>
    <w:rsid w:val="24E77D47"/>
    <w:rsid w:val="25EF0DCD"/>
    <w:rsid w:val="25FC3DF2"/>
    <w:rsid w:val="26B172D2"/>
    <w:rsid w:val="26CF01E4"/>
    <w:rsid w:val="26F10D86"/>
    <w:rsid w:val="285A24C1"/>
    <w:rsid w:val="291B0947"/>
    <w:rsid w:val="29505C18"/>
    <w:rsid w:val="298F4F7D"/>
    <w:rsid w:val="2AD46D29"/>
    <w:rsid w:val="2B22254D"/>
    <w:rsid w:val="2C3A38C6"/>
    <w:rsid w:val="2C624BCB"/>
    <w:rsid w:val="2CC338BC"/>
    <w:rsid w:val="2D855015"/>
    <w:rsid w:val="2D975F52"/>
    <w:rsid w:val="2E7806D6"/>
    <w:rsid w:val="2EC76F67"/>
    <w:rsid w:val="2EF51306"/>
    <w:rsid w:val="2F544C9F"/>
    <w:rsid w:val="2FBD24C7"/>
    <w:rsid w:val="2FDB79E8"/>
    <w:rsid w:val="307F35A3"/>
    <w:rsid w:val="30AB0896"/>
    <w:rsid w:val="30B4130D"/>
    <w:rsid w:val="31196864"/>
    <w:rsid w:val="313D5603"/>
    <w:rsid w:val="31857392"/>
    <w:rsid w:val="319C292D"/>
    <w:rsid w:val="31B90C34"/>
    <w:rsid w:val="31C86462"/>
    <w:rsid w:val="32684925"/>
    <w:rsid w:val="32EB225A"/>
    <w:rsid w:val="3516474F"/>
    <w:rsid w:val="357A6E0B"/>
    <w:rsid w:val="37B6565E"/>
    <w:rsid w:val="38D05A4D"/>
    <w:rsid w:val="39873EC3"/>
    <w:rsid w:val="3A80100E"/>
    <w:rsid w:val="3B24518D"/>
    <w:rsid w:val="3B5322AF"/>
    <w:rsid w:val="3BA66882"/>
    <w:rsid w:val="3BAC7C11"/>
    <w:rsid w:val="3BED22B9"/>
    <w:rsid w:val="3C1F415E"/>
    <w:rsid w:val="3C2E6878"/>
    <w:rsid w:val="3C5131C7"/>
    <w:rsid w:val="3C6A087C"/>
    <w:rsid w:val="3C860462"/>
    <w:rsid w:val="3CA725A1"/>
    <w:rsid w:val="3CB61F7E"/>
    <w:rsid w:val="3CE64AEB"/>
    <w:rsid w:val="3DBC1F7B"/>
    <w:rsid w:val="3E0E4BB3"/>
    <w:rsid w:val="3F2F58E1"/>
    <w:rsid w:val="408F5C45"/>
    <w:rsid w:val="40D93256"/>
    <w:rsid w:val="414653EF"/>
    <w:rsid w:val="415723CD"/>
    <w:rsid w:val="416A2100"/>
    <w:rsid w:val="41A75102"/>
    <w:rsid w:val="423F75AE"/>
    <w:rsid w:val="45732EC1"/>
    <w:rsid w:val="4588524B"/>
    <w:rsid w:val="459C2AA4"/>
    <w:rsid w:val="45AB7FDC"/>
    <w:rsid w:val="45FF327B"/>
    <w:rsid w:val="464D325C"/>
    <w:rsid w:val="465955CE"/>
    <w:rsid w:val="470C467C"/>
    <w:rsid w:val="47246F0D"/>
    <w:rsid w:val="47BD7AFF"/>
    <w:rsid w:val="4894000C"/>
    <w:rsid w:val="489720A4"/>
    <w:rsid w:val="49066BB2"/>
    <w:rsid w:val="495F6AC7"/>
    <w:rsid w:val="4B1650A7"/>
    <w:rsid w:val="4B203F43"/>
    <w:rsid w:val="4B551C98"/>
    <w:rsid w:val="4CA162F5"/>
    <w:rsid w:val="4CFD34F6"/>
    <w:rsid w:val="4D1B0752"/>
    <w:rsid w:val="4D6439D7"/>
    <w:rsid w:val="4ED43B07"/>
    <w:rsid w:val="4F846A83"/>
    <w:rsid w:val="50795EBC"/>
    <w:rsid w:val="51053BF3"/>
    <w:rsid w:val="514E0C97"/>
    <w:rsid w:val="518E7591"/>
    <w:rsid w:val="51BC440F"/>
    <w:rsid w:val="522E0D5E"/>
    <w:rsid w:val="52DB7F86"/>
    <w:rsid w:val="53A56FC8"/>
    <w:rsid w:val="54417363"/>
    <w:rsid w:val="54B43966"/>
    <w:rsid w:val="552C2F45"/>
    <w:rsid w:val="566B44F9"/>
    <w:rsid w:val="56F30F93"/>
    <w:rsid w:val="58227A4C"/>
    <w:rsid w:val="58E32A6C"/>
    <w:rsid w:val="5A094754"/>
    <w:rsid w:val="5A186745"/>
    <w:rsid w:val="5AE2054A"/>
    <w:rsid w:val="5B61496E"/>
    <w:rsid w:val="5BF7783A"/>
    <w:rsid w:val="5CFD7E74"/>
    <w:rsid w:val="5E280385"/>
    <w:rsid w:val="5E4E0769"/>
    <w:rsid w:val="5EDA046D"/>
    <w:rsid w:val="60E84387"/>
    <w:rsid w:val="61E67129"/>
    <w:rsid w:val="62500A46"/>
    <w:rsid w:val="62F35FA1"/>
    <w:rsid w:val="63471E49"/>
    <w:rsid w:val="639A0F93"/>
    <w:rsid w:val="63A969CE"/>
    <w:rsid w:val="658C7FE7"/>
    <w:rsid w:val="65DF0A5F"/>
    <w:rsid w:val="66B912B0"/>
    <w:rsid w:val="66CD7D34"/>
    <w:rsid w:val="675C7219"/>
    <w:rsid w:val="67ED685C"/>
    <w:rsid w:val="68054663"/>
    <w:rsid w:val="68525518"/>
    <w:rsid w:val="69025A0A"/>
    <w:rsid w:val="691610CC"/>
    <w:rsid w:val="697E06BF"/>
    <w:rsid w:val="6A553C94"/>
    <w:rsid w:val="6AC653BC"/>
    <w:rsid w:val="6AF01018"/>
    <w:rsid w:val="6B8005EE"/>
    <w:rsid w:val="6BE516ED"/>
    <w:rsid w:val="6C057484"/>
    <w:rsid w:val="6CAE6A95"/>
    <w:rsid w:val="6CD75CE3"/>
    <w:rsid w:val="6D2A15A2"/>
    <w:rsid w:val="6D912903"/>
    <w:rsid w:val="6F26325B"/>
    <w:rsid w:val="6FC30AAA"/>
    <w:rsid w:val="6FDD7919"/>
    <w:rsid w:val="6FE50A20"/>
    <w:rsid w:val="6FE80510"/>
    <w:rsid w:val="72061DDA"/>
    <w:rsid w:val="72361A07"/>
    <w:rsid w:val="728B1D53"/>
    <w:rsid w:val="72AE0ED1"/>
    <w:rsid w:val="72EC0317"/>
    <w:rsid w:val="73CB20B7"/>
    <w:rsid w:val="73EA2AA9"/>
    <w:rsid w:val="753F52EF"/>
    <w:rsid w:val="75AD3D8E"/>
    <w:rsid w:val="75FE7E9E"/>
    <w:rsid w:val="76BA437A"/>
    <w:rsid w:val="76CF3FEC"/>
    <w:rsid w:val="770B58AC"/>
    <w:rsid w:val="773B361B"/>
    <w:rsid w:val="774249AA"/>
    <w:rsid w:val="77916FE2"/>
    <w:rsid w:val="77AA14E9"/>
    <w:rsid w:val="77F87607"/>
    <w:rsid w:val="79170DCE"/>
    <w:rsid w:val="79C162A0"/>
    <w:rsid w:val="7AB23BF5"/>
    <w:rsid w:val="7AB94F83"/>
    <w:rsid w:val="7B20068B"/>
    <w:rsid w:val="7B4F7695"/>
    <w:rsid w:val="7B6E6B1B"/>
    <w:rsid w:val="7C174657"/>
    <w:rsid w:val="7C706FF4"/>
    <w:rsid w:val="7DD547CA"/>
    <w:rsid w:val="7E123328"/>
    <w:rsid w:val="7E2E4D17"/>
    <w:rsid w:val="7E464D80"/>
    <w:rsid w:val="7E590627"/>
    <w:rsid w:val="7E5A0D07"/>
    <w:rsid w:val="7E694F12"/>
    <w:rsid w:val="7E847CC7"/>
    <w:rsid w:val="7E9709BB"/>
    <w:rsid w:val="7EBA751C"/>
    <w:rsid w:val="7EBF54B3"/>
    <w:rsid w:val="7F016EF9"/>
    <w:rsid w:val="B76EB03F"/>
    <w:rsid w:val="CFBFD72B"/>
    <w:rsid w:val="EAFBDD4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spacing w:after="156" w:afterLines="50" w:line="640" w:lineRule="exact"/>
      <w:outlineLvl w:val="0"/>
    </w:pPr>
    <w:rPr>
      <w:rFonts w:ascii="方正小标宋简体" w:eastAsia="方正小标宋简体"/>
      <w:sz w:val="44"/>
      <w:szCs w:val="36"/>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link w:val="10"/>
    <w:qFormat/>
    <w:uiPriority w:val="0"/>
    <w:pPr>
      <w:tabs>
        <w:tab w:val="center" w:pos="4153"/>
        <w:tab w:val="right" w:pos="8306"/>
      </w:tabs>
      <w:snapToGrid w:val="0"/>
      <w:jc w:val="left"/>
    </w:pPr>
    <w:rPr>
      <w:sz w:val="18"/>
      <w:szCs w:val="18"/>
    </w:rPr>
  </w:style>
  <w:style w:type="paragraph" w:styleId="5">
    <w:name w:val="header"/>
    <w:basedOn w:val="1"/>
    <w:link w:val="9"/>
    <w:qFormat/>
    <w:uiPriority w:val="0"/>
    <w:pPr>
      <w:tabs>
        <w:tab w:val="center" w:pos="4153"/>
        <w:tab w:val="right" w:pos="8306"/>
      </w:tabs>
      <w:snapToGrid w:val="0"/>
      <w:jc w:val="center"/>
    </w:pPr>
    <w:rPr>
      <w:sz w:val="18"/>
      <w:szCs w:val="18"/>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字符"/>
    <w:basedOn w:val="8"/>
    <w:link w:val="5"/>
    <w:qFormat/>
    <w:uiPriority w:val="0"/>
    <w:rPr>
      <w:kern w:val="2"/>
      <w:sz w:val="18"/>
      <w:szCs w:val="18"/>
    </w:rPr>
  </w:style>
  <w:style w:type="character" w:customStyle="1" w:styleId="10">
    <w:name w:val="页脚 字符"/>
    <w:basedOn w:val="8"/>
    <w:link w:val="4"/>
    <w:qFormat/>
    <w:uiPriority w:val="0"/>
    <w:rPr>
      <w:kern w:val="2"/>
      <w:sz w:val="18"/>
      <w:szCs w:val="18"/>
    </w:rPr>
  </w:style>
  <w:style w:type="paragraph" w:customStyle="1" w:styleId="11">
    <w:name w:val="列出段落11"/>
    <w:basedOn w:val="1"/>
    <w:qFormat/>
    <w:uiPriority w:val="34"/>
    <w:pPr>
      <w:ind w:firstLine="420" w:firstLineChars="200"/>
    </w:pPr>
    <w:rPr>
      <w:rFonts w:ascii="Calibri" w:hAnsi="Calibri"/>
      <w:szCs w:val="22"/>
      <w:lang w:eastAsia="en-US" w:bidi="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925</Words>
  <Characters>988</Characters>
  <Lines>8</Lines>
  <Paragraphs>2</Paragraphs>
  <TotalTime>52</TotalTime>
  <ScaleCrop>false</ScaleCrop>
  <LinksUpToDate>false</LinksUpToDate>
  <CharactersWithSpaces>988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2023-07-19T11:19:00Z</dcterms:created>
  <dc:creator>一咦已翌</dc:creator>
  <cp:lastModifiedBy>lee</cp:lastModifiedBy>
  <dcterms:modified xsi:type="dcterms:W3CDTF">2024-07-16T02:28:58Z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BD9FA8F7AA3B41128217ACB52BF5EFF3_13</vt:lpwstr>
  </property>
</Properties>
</file>