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240"/>
        <w:jc w:val="center"/>
        <w:rPr>
          <w:rFonts w:ascii="黑体" w:hAnsi="黑体" w:eastAsia="黑体" w:cs="黑体"/>
          <w:bCs/>
          <w:kern w:val="0"/>
          <w:sz w:val="36"/>
          <w:szCs w:val="36"/>
          <w:lang w:val="en-GB" w:bidi="ar-AE"/>
        </w:rPr>
      </w:pPr>
      <w:r>
        <w:rPr>
          <w:rFonts w:hint="eastAsia" w:ascii="黑体" w:hAnsi="黑体" w:eastAsia="黑体" w:cs="黑体"/>
          <w:bCs/>
          <w:kern w:val="0"/>
          <w:sz w:val="36"/>
          <w:szCs w:val="36"/>
          <w:lang w:val="en-GB" w:bidi="ar-AE"/>
        </w:rPr>
        <w:t>经营者集中简易案件公示表</w:t>
      </w:r>
    </w:p>
    <w:tbl>
      <w:tblPr>
        <w:tblStyle w:val="7"/>
        <w:tblW w:w="964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607"/>
        <w:gridCol w:w="6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940" w:type="dxa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eastAsia="en-GB" w:bidi="ar-AE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GB" w:eastAsia="en-GB" w:bidi="ar-AE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kern w:val="0"/>
                <w:sz w:val="24"/>
                <w:szCs w:val="24"/>
                <w:highlight w:val="yellow"/>
                <w:lang w:bidi="ar-A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-AE"/>
              </w:rPr>
              <w:t>佛吉亚（中国）投资有限公司与芜湖奇瑞科技有限公司新设合营企业案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940" w:type="dxa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GB" w:bidi="ar-AE"/>
              </w:rPr>
              <w:t>交易概况（限200字内）</w:t>
            </w:r>
          </w:p>
        </w:tc>
        <w:tc>
          <w:tcPr>
            <w:tcW w:w="7700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kern w:val="0"/>
                <w:sz w:val="24"/>
                <w:szCs w:val="24"/>
                <w:highlight w:val="cyan"/>
                <w:lang w:bidi="ar-A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-AE"/>
              </w:rPr>
              <w:t>佛吉亚（中国）投资有限公司（“佛吉亚中投”），芜湖奇瑞科技有限公司（“奇瑞科技”）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-AE"/>
              </w:rPr>
              <w:t>与芜湖市鸠创投资基金有限公司（“鸠创基金”）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-AE"/>
              </w:rPr>
              <w:t>签署交易协议，拟设立一家合资公司。合资公司未来拟开展设计、开发、制造和供应全座舱范围相关的系统和模块业务。本次交易后，佛吉亚中投、奇瑞科技与鸠创基金将分别持有合资公司51%、34%和15%的股权，佛吉亚中投、奇瑞科技将共同控制合资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GB" w:bidi="ar-AE"/>
              </w:rPr>
              <w:t>参与集中的经营者简介（每个限</w:t>
            </w: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bidi="ar-AE"/>
              </w:rPr>
              <w:t>100字以内</w:t>
            </w: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GB" w:bidi="ar-AE"/>
              </w:rPr>
              <w:t>）</w:t>
            </w:r>
          </w:p>
        </w:tc>
        <w:tc>
          <w:tcPr>
            <w:tcW w:w="1607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highlight w:val="cyan"/>
                <w:lang w:val="en-GB" w:bidi="ar-A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-AE"/>
              </w:rPr>
              <w:t>1.佛吉亚中投</w:t>
            </w:r>
          </w:p>
        </w:tc>
        <w:tc>
          <w:tcPr>
            <w:tcW w:w="6093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-A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-AE"/>
              </w:rPr>
              <w:t>佛吉亚中投于2008年12月3日成立于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bidi="ar-AE"/>
              </w:rPr>
              <w:t>中国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-AE"/>
              </w:rPr>
              <w:t>上海市，主要从事汽车座椅系统、汽车内饰系统、绿动智行系统（即排放控制技术系统）以及汽车电子四大核心业务。</w:t>
            </w: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 w:val="24"/>
                <w:szCs w:val="24"/>
                <w:highlight w:val="cyan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-AE"/>
              </w:rPr>
              <w:t>佛吉亚中投的最终控制人为Forvia S.E.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bidi="ar-AE"/>
              </w:rPr>
              <w:t>（佛吉亚欧洲公司）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-AE"/>
              </w:rPr>
              <w:t>，主要业务为生产和销售汽车零部件。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highlight w:val="cyan"/>
                <w:lang w:bidi="ar-AE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bidi="ar-AE"/>
              </w:rPr>
              <w:t>2.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-AE"/>
              </w:rPr>
              <w:t>奇瑞科技</w:t>
            </w:r>
          </w:p>
        </w:tc>
        <w:tc>
          <w:tcPr>
            <w:tcW w:w="6093" w:type="dxa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-A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-AE"/>
              </w:rPr>
              <w:t>奇瑞科技于2001年11月21日成立于中国安徽省，主要开展汽车零部件的生产、销售及投资业务。</w:t>
            </w:r>
          </w:p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kern w:val="0"/>
                <w:sz w:val="24"/>
                <w:szCs w:val="24"/>
                <w:highlight w:val="cyan"/>
                <w:lang w:bidi="ar-A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lang w:bidi="ar-AE"/>
              </w:rPr>
              <w:t>奇瑞科技的最终控制人为奇瑞控股集团有限公司，主要开展汽车、汽车零部件生产与研发、造船、金融投资、服务贸易业务。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GB" w:bidi="ar-AE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FE"/>
            </w: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1、在同一相关市场，所有参与集中的经营者所占市场份额之和小于15%。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FE"/>
            </w: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2、存在上下游关系的参与集中的经营者，在上下游市场所占的市场份额均小于25%。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3、不在同一相关市场、也不存在上下游关系的参与集中的经营者，在与交易有关的每个市场所占的份额均小于25%。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4、参与集中的经营者在中国境外设立合营企业，合营企业不在中国境内从事经济活动。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5、参与集中的经营者收购境外企业股权或资产的，该境外企业不在中国境内从事经济活动。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6、由两个以上的经营者共同控制的合营企业，通过集中被其中一个或一个以上经营者控制。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1940" w:type="dxa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lang w:bidi="ar-AE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val="en-GB" w:bidi="ar-AE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val="en-GB" w:bidi="ar-AE"/>
              </w:rPr>
              <w:t>横向重叠：</w:t>
            </w:r>
          </w:p>
          <w:tbl>
            <w:tblPr>
              <w:tblStyle w:val="8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93"/>
              <w:gridCol w:w="2189"/>
              <w:gridCol w:w="249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93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sz w:val="24"/>
                      <w:szCs w:val="24"/>
                    </w:rPr>
                    <w:t>相关商品市场</w:t>
                  </w:r>
                </w:p>
              </w:tc>
              <w:tc>
                <w:tcPr>
                  <w:tcW w:w="2189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sz w:val="24"/>
                      <w:szCs w:val="24"/>
                    </w:rPr>
                    <w:t>相关地域市场</w:t>
                  </w:r>
                </w:p>
              </w:tc>
              <w:tc>
                <w:tcPr>
                  <w:tcW w:w="2492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sz w:val="24"/>
                      <w:szCs w:val="24"/>
                    </w:rPr>
                    <w:t>2023年市场份额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93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val="en-GB" w:bidi="ar-AE"/>
                    </w:rPr>
                    <w:t>乘用车座椅市场</w:t>
                  </w:r>
                </w:p>
              </w:tc>
              <w:tc>
                <w:tcPr>
                  <w:tcW w:w="2189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中国境内</w:t>
                  </w:r>
                </w:p>
              </w:tc>
              <w:tc>
                <w:tcPr>
                  <w:tcW w:w="2492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rPr>
                      <w:rFonts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bidi="ar-AE"/>
                    </w:rPr>
                    <w:t>佛吉亚中投：10-15%</w:t>
                  </w:r>
                </w:p>
                <w:p>
                  <w:pPr>
                    <w:widowControl/>
                    <w:adjustRightInd w:val="0"/>
                    <w:snapToGrid w:val="0"/>
                    <w:rPr>
                      <w:rFonts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kern w:val="0"/>
                      <w:sz w:val="24"/>
                      <w:szCs w:val="24"/>
                      <w:lang w:bidi="ar-AE"/>
                    </w:rPr>
                    <w:t>奇瑞科技</w:t>
                  </w:r>
                  <w:r>
                    <w:rPr>
                      <w:rFonts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bidi="ar-AE"/>
                    </w:rPr>
                    <w:t>：0-5%</w:t>
                  </w:r>
                </w:p>
                <w:p>
                  <w:pPr>
                    <w:widowControl/>
                    <w:adjustRightInd w:val="0"/>
                    <w:snapToGrid w:val="0"/>
                    <w:rPr>
                      <w:rFonts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bidi="ar-AE"/>
                    </w:rPr>
                    <w:t>双方合计：10-15%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93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bidi="ar-AE"/>
                    </w:rPr>
                    <w:t>乘用车仪表板市场</w:t>
                  </w:r>
                </w:p>
              </w:tc>
              <w:tc>
                <w:tcPr>
                  <w:tcW w:w="2189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中国境内</w:t>
                  </w:r>
                </w:p>
              </w:tc>
              <w:tc>
                <w:tcPr>
                  <w:tcW w:w="2492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rPr>
                      <w:rFonts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bidi="ar-AE"/>
                    </w:rPr>
                    <w:t>佛吉亚中投：5-10%</w:t>
                  </w:r>
                </w:p>
                <w:p>
                  <w:pPr>
                    <w:widowControl/>
                    <w:adjustRightInd w:val="0"/>
                    <w:snapToGrid w:val="0"/>
                    <w:rPr>
                      <w:rFonts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kern w:val="0"/>
                      <w:sz w:val="24"/>
                      <w:szCs w:val="24"/>
                      <w:lang w:bidi="ar-AE"/>
                    </w:rPr>
                    <w:t>奇瑞科技</w:t>
                  </w:r>
                  <w:r>
                    <w:rPr>
                      <w:rFonts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bidi="ar-AE"/>
                    </w:rPr>
                    <w:t>：0-5%，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bCs/>
                      <w:color w:val="000000"/>
                      <w:kern w:val="0"/>
                      <w:sz w:val="24"/>
                      <w:szCs w:val="24"/>
                      <w:lang w:bidi="ar-AE"/>
                    </w:rPr>
                    <w:t>双方合计：10-15%</w:t>
                  </w:r>
                </w:p>
              </w:tc>
            </w:tr>
          </w:tbl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lang w:bidi="ar-AE"/>
              </w:rPr>
              <w:t>纵向关联：</w:t>
            </w:r>
          </w:p>
          <w:tbl>
            <w:tblPr>
              <w:tblStyle w:val="8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93"/>
              <w:gridCol w:w="2189"/>
              <w:gridCol w:w="249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93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sz w:val="24"/>
                      <w:szCs w:val="24"/>
                    </w:rPr>
                    <w:t>相关商品市场</w:t>
                  </w:r>
                </w:p>
              </w:tc>
              <w:tc>
                <w:tcPr>
                  <w:tcW w:w="2189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sz w:val="24"/>
                      <w:szCs w:val="24"/>
                    </w:rPr>
                    <w:t>相关地域市场</w:t>
                  </w:r>
                </w:p>
              </w:tc>
              <w:tc>
                <w:tcPr>
                  <w:tcW w:w="2492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sz w:val="24"/>
                      <w:szCs w:val="24"/>
                    </w:rPr>
                    <w:t>2023年市场份额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93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乘用车座椅骨架市场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乘用车座椅市场</w:t>
                  </w:r>
                </w:p>
              </w:tc>
              <w:tc>
                <w:tcPr>
                  <w:tcW w:w="2189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上游：中国境内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下游：中国境内</w:t>
                  </w:r>
                </w:p>
              </w:tc>
              <w:tc>
                <w:tcPr>
                  <w:tcW w:w="2492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佛吉亚中投：15-20%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佛吉亚中投：10-15%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奇瑞科技：0-5%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93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乘用车座椅调角器市场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乘用车座椅市场</w:t>
                  </w:r>
                </w:p>
              </w:tc>
              <w:tc>
                <w:tcPr>
                  <w:tcW w:w="2189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上游：中国境内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下游：中国境内</w:t>
                  </w:r>
                </w:p>
              </w:tc>
              <w:tc>
                <w:tcPr>
                  <w:tcW w:w="2492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佛吉亚中投：20-25%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下游：如上所述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2793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乘用车座椅滑轨市场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乘用车座椅市场</w:t>
                  </w:r>
                </w:p>
              </w:tc>
              <w:tc>
                <w:tcPr>
                  <w:tcW w:w="2189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上游：中国境内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下游：中国境内</w:t>
                  </w:r>
                </w:p>
              </w:tc>
              <w:tc>
                <w:tcPr>
                  <w:tcW w:w="2492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佛吉亚中投：20-25%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下游：如上所述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93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乘用车座椅市场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乘用车市场</w:t>
                  </w:r>
                </w:p>
              </w:tc>
              <w:tc>
                <w:tcPr>
                  <w:tcW w:w="2189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上游：中国境内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下游：中国境内</w:t>
                  </w:r>
                </w:p>
              </w:tc>
              <w:tc>
                <w:tcPr>
                  <w:tcW w:w="2492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上游：如上所述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奇瑞科技：0-5%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93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乘用车仪表板市场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乘用车市场</w:t>
                  </w:r>
                </w:p>
              </w:tc>
              <w:tc>
                <w:tcPr>
                  <w:tcW w:w="2189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上游：中国境内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下游：中国境内</w:t>
                  </w:r>
                </w:p>
              </w:tc>
              <w:tc>
                <w:tcPr>
                  <w:tcW w:w="2492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佛吉亚中投：5-10%；</w:t>
                  </w:r>
                  <w:r>
                    <w:rPr>
                      <w:rFonts w:ascii="Times New Roman" w:hAnsi="Times New Roman" w:eastAsia="宋体" w:cs="Times New Roman"/>
                      <w:kern w:val="0"/>
                      <w:sz w:val="24"/>
                      <w:szCs w:val="24"/>
                      <w:lang w:bidi="ar-AE"/>
                    </w:rPr>
                    <w:t>奇瑞科技</w:t>
                  </w: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：0-5%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奇瑞科技：如上所述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93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车载信息娱乐系统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乘用车市场</w:t>
                  </w:r>
                </w:p>
              </w:tc>
              <w:tc>
                <w:tcPr>
                  <w:tcW w:w="2189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上游：中国境内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下游：中国境内</w:t>
                  </w:r>
                </w:p>
              </w:tc>
              <w:tc>
                <w:tcPr>
                  <w:tcW w:w="2492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佛吉亚中投：0-5%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奇瑞科技：如上所述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2793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乘用车门板市场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乘用车市场</w:t>
                  </w:r>
                </w:p>
              </w:tc>
              <w:tc>
                <w:tcPr>
                  <w:tcW w:w="2189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上游：中国境内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下游：中国境内</w:t>
                  </w:r>
                </w:p>
              </w:tc>
              <w:tc>
                <w:tcPr>
                  <w:tcW w:w="2492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佛吉亚中投：0-5%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奇瑞科技：如上所述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93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乘用车中控台市场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乘用车市场</w:t>
                  </w:r>
                </w:p>
              </w:tc>
              <w:tc>
                <w:tcPr>
                  <w:tcW w:w="2189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上游：中国境内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下游：中国境内</w:t>
                  </w:r>
                </w:p>
              </w:tc>
              <w:tc>
                <w:tcPr>
                  <w:tcW w:w="2492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佛吉亚中投：5</w:t>
                  </w: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-</w:t>
                  </w: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10%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奇瑞科技：如上所述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93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车用液晶显示面板市场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乘用车市场</w:t>
                  </w:r>
                </w:p>
              </w:tc>
              <w:tc>
                <w:tcPr>
                  <w:tcW w:w="2189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上游：中国境内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下游：中国境内</w:t>
                  </w:r>
                </w:p>
              </w:tc>
              <w:tc>
                <w:tcPr>
                  <w:tcW w:w="2492" w:type="dxa"/>
                  <w:vAlign w:val="center"/>
                </w:tcPr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上游：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佛吉亚中投：0-5%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下游：</w:t>
                  </w:r>
                </w:p>
                <w:p>
                  <w:pPr>
                    <w:widowControl/>
                    <w:adjustRightInd w:val="0"/>
                    <w:snapToGrid w:val="0"/>
                    <w:jc w:val="left"/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00"/>
                      <w:kern w:val="0"/>
                      <w:sz w:val="24"/>
                      <w:szCs w:val="24"/>
                      <w:lang w:bidi="ar-AE"/>
                    </w:rPr>
                    <w:t>奇瑞科技：如上所述</w:t>
                  </w:r>
                </w:p>
              </w:tc>
            </w:tr>
          </w:tbl>
          <w:p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bCs/>
                <w:color w:val="000000"/>
                <w:kern w:val="0"/>
                <w:sz w:val="24"/>
                <w:szCs w:val="24"/>
                <w:highlight w:val="cyan"/>
                <w:lang w:bidi="ar-AE"/>
              </w:rPr>
            </w:pPr>
          </w:p>
        </w:tc>
      </w:tr>
    </w:tbl>
    <w:p>
      <w:pPr>
        <w:rPr>
          <w:lang w:val="en-GB"/>
        </w:rPr>
      </w:pPr>
      <w:bookmarkStart w:id="0" w:name="_GoBack"/>
      <w:bookmarkEnd w:id="0"/>
    </w:p>
    <w:sectPr>
      <w:footerReference r:id="rId3" w:type="default"/>
      <w:pgSz w:w="11906" w:h="16838"/>
      <w:pgMar w:top="1240" w:right="1440" w:bottom="1098" w:left="1440" w:header="720" w:footer="34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plified Arabic">
    <w:altName w:val="DejaVu Sans"/>
    <w:panose1 w:val="00000000000000000000"/>
    <w:charset w:val="B2"/>
    <w:family w:val="roman"/>
    <w:pitch w:val="default"/>
    <w:sig w:usb0="00000000" w:usb1="00000000" w:usb2="00000008" w:usb3="00000000" w:csb0="00000041" w:csb1="00000000"/>
  </w:font>
  <w:font w:name="Arial">
    <w:altName w:val="Nimbus Roman No9 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7"/>
      <w:tblW w:w="0" w:type="auto"/>
      <w:tblInd w:w="0" w:type="dxa"/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3080"/>
      <w:gridCol w:w="3081"/>
      <w:gridCol w:w="3081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3080" w:type="dxa"/>
        </w:tcPr>
        <w:p>
          <w:pPr>
            <w:pStyle w:val="3"/>
          </w:pPr>
        </w:p>
      </w:tc>
      <w:tc>
        <w:tcPr>
          <w:tcW w:w="3081" w:type="dxa"/>
        </w:tcPr>
        <w:p>
          <w:pPr>
            <w:pStyle w:val="3"/>
            <w:jc w:val="center"/>
            <w:rPr>
              <w:rStyle w:val="10"/>
              <w:rFonts w:cs="Times New Roman"/>
            </w:rPr>
          </w:pPr>
          <w:r>
            <w:rPr>
              <w:rStyle w:val="10"/>
              <w:rFonts w:cs="Times New Roman"/>
            </w:rPr>
            <w:t xml:space="preserve">- </w:t>
          </w:r>
          <w:r>
            <w:rPr>
              <w:rStyle w:val="10"/>
              <w:rFonts w:cs="Times New Roman"/>
            </w:rPr>
            <w:fldChar w:fldCharType="begin"/>
          </w:r>
          <w:r>
            <w:rPr>
              <w:rStyle w:val="10"/>
              <w:rFonts w:cs="Times New Roman"/>
            </w:rPr>
            <w:instrText xml:space="preserve"> PAGE   \* MERGEFORMAT </w:instrText>
          </w:r>
          <w:r>
            <w:rPr>
              <w:rStyle w:val="10"/>
              <w:rFonts w:cs="Times New Roman"/>
            </w:rPr>
            <w:fldChar w:fldCharType="separate"/>
          </w:r>
          <w:r>
            <w:rPr>
              <w:rStyle w:val="10"/>
              <w:rFonts w:cs="Times New Roman"/>
              <w:lang w:val="en-US"/>
            </w:rPr>
            <w:t>2</w:t>
          </w:r>
          <w:r>
            <w:rPr>
              <w:rStyle w:val="10"/>
              <w:rFonts w:cs="Times New Roman"/>
            </w:rPr>
            <w:fldChar w:fldCharType="end"/>
          </w:r>
          <w:r>
            <w:rPr>
              <w:rStyle w:val="10"/>
              <w:rFonts w:cs="Times New Roman"/>
            </w:rPr>
            <w:t xml:space="preserve"> -</w:t>
          </w:r>
        </w:p>
      </w:tc>
      <w:tc>
        <w:tcPr>
          <w:tcW w:w="3081" w:type="dxa"/>
        </w:tcPr>
        <w:p>
          <w:pPr>
            <w:pStyle w:val="14"/>
          </w:pPr>
        </w:p>
      </w:tc>
    </w:tr>
  </w:tbl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311"/>
    <w:rsid w:val="0001136D"/>
    <w:rsid w:val="000115F2"/>
    <w:rsid w:val="000354BE"/>
    <w:rsid w:val="00043DEF"/>
    <w:rsid w:val="00082104"/>
    <w:rsid w:val="0008648A"/>
    <w:rsid w:val="0009375D"/>
    <w:rsid w:val="000A36C6"/>
    <w:rsid w:val="000C5DF7"/>
    <w:rsid w:val="000C7440"/>
    <w:rsid w:val="000D6F50"/>
    <w:rsid w:val="000E4133"/>
    <w:rsid w:val="000F0E41"/>
    <w:rsid w:val="000F6CCB"/>
    <w:rsid w:val="00106D6F"/>
    <w:rsid w:val="00126286"/>
    <w:rsid w:val="00154C65"/>
    <w:rsid w:val="00154DCE"/>
    <w:rsid w:val="00170D27"/>
    <w:rsid w:val="00172429"/>
    <w:rsid w:val="001A36D9"/>
    <w:rsid w:val="001B3456"/>
    <w:rsid w:val="001C5EE7"/>
    <w:rsid w:val="001E1162"/>
    <w:rsid w:val="001F7587"/>
    <w:rsid w:val="002004C3"/>
    <w:rsid w:val="002007E4"/>
    <w:rsid w:val="002126B7"/>
    <w:rsid w:val="00231BF4"/>
    <w:rsid w:val="002506D0"/>
    <w:rsid w:val="002513FA"/>
    <w:rsid w:val="00255135"/>
    <w:rsid w:val="00266FC3"/>
    <w:rsid w:val="00270FAF"/>
    <w:rsid w:val="002969B8"/>
    <w:rsid w:val="002D7C57"/>
    <w:rsid w:val="002E6A1F"/>
    <w:rsid w:val="002F5DEC"/>
    <w:rsid w:val="003326A7"/>
    <w:rsid w:val="00346706"/>
    <w:rsid w:val="003478B7"/>
    <w:rsid w:val="003636C6"/>
    <w:rsid w:val="003A17EF"/>
    <w:rsid w:val="003A406F"/>
    <w:rsid w:val="00410BD2"/>
    <w:rsid w:val="00413614"/>
    <w:rsid w:val="0042402D"/>
    <w:rsid w:val="004712B3"/>
    <w:rsid w:val="00474136"/>
    <w:rsid w:val="004A3655"/>
    <w:rsid w:val="004C4C9A"/>
    <w:rsid w:val="004C5BE4"/>
    <w:rsid w:val="004D4816"/>
    <w:rsid w:val="004E758A"/>
    <w:rsid w:val="0054470F"/>
    <w:rsid w:val="00574226"/>
    <w:rsid w:val="00581902"/>
    <w:rsid w:val="00595A4A"/>
    <w:rsid w:val="005B4A2B"/>
    <w:rsid w:val="005C1300"/>
    <w:rsid w:val="005E12C1"/>
    <w:rsid w:val="005E5D37"/>
    <w:rsid w:val="005E6160"/>
    <w:rsid w:val="006002CC"/>
    <w:rsid w:val="00605114"/>
    <w:rsid w:val="006148E9"/>
    <w:rsid w:val="006560E0"/>
    <w:rsid w:val="006800E5"/>
    <w:rsid w:val="006A073A"/>
    <w:rsid w:val="006B2B07"/>
    <w:rsid w:val="006B3AA3"/>
    <w:rsid w:val="006B3E61"/>
    <w:rsid w:val="006B433E"/>
    <w:rsid w:val="006C1EC6"/>
    <w:rsid w:val="007051A2"/>
    <w:rsid w:val="00730311"/>
    <w:rsid w:val="00731608"/>
    <w:rsid w:val="0074660F"/>
    <w:rsid w:val="007474AF"/>
    <w:rsid w:val="00767C21"/>
    <w:rsid w:val="0078219F"/>
    <w:rsid w:val="00783F31"/>
    <w:rsid w:val="00792754"/>
    <w:rsid w:val="007A17AC"/>
    <w:rsid w:val="007B20CD"/>
    <w:rsid w:val="007C701D"/>
    <w:rsid w:val="007C761D"/>
    <w:rsid w:val="007E55A6"/>
    <w:rsid w:val="007F3E8A"/>
    <w:rsid w:val="008311B5"/>
    <w:rsid w:val="0084554C"/>
    <w:rsid w:val="00860DD1"/>
    <w:rsid w:val="00877161"/>
    <w:rsid w:val="00890F88"/>
    <w:rsid w:val="008A132A"/>
    <w:rsid w:val="008A1DB2"/>
    <w:rsid w:val="008E55AA"/>
    <w:rsid w:val="008E6678"/>
    <w:rsid w:val="008F12B9"/>
    <w:rsid w:val="00903D10"/>
    <w:rsid w:val="00925EA7"/>
    <w:rsid w:val="00933F1C"/>
    <w:rsid w:val="00981E8C"/>
    <w:rsid w:val="009953A7"/>
    <w:rsid w:val="009A087E"/>
    <w:rsid w:val="009B0195"/>
    <w:rsid w:val="009C326B"/>
    <w:rsid w:val="009C49F3"/>
    <w:rsid w:val="009C7BED"/>
    <w:rsid w:val="009D3C23"/>
    <w:rsid w:val="009E74DF"/>
    <w:rsid w:val="009F37C7"/>
    <w:rsid w:val="00A03FEA"/>
    <w:rsid w:val="00A1260D"/>
    <w:rsid w:val="00A15C75"/>
    <w:rsid w:val="00A21589"/>
    <w:rsid w:val="00A45856"/>
    <w:rsid w:val="00A60FD0"/>
    <w:rsid w:val="00AA04F0"/>
    <w:rsid w:val="00AC4EA6"/>
    <w:rsid w:val="00AC59AE"/>
    <w:rsid w:val="00AC76AA"/>
    <w:rsid w:val="00AD349C"/>
    <w:rsid w:val="00B13159"/>
    <w:rsid w:val="00B36791"/>
    <w:rsid w:val="00B405C2"/>
    <w:rsid w:val="00B56421"/>
    <w:rsid w:val="00B7191B"/>
    <w:rsid w:val="00B71962"/>
    <w:rsid w:val="00B900DE"/>
    <w:rsid w:val="00B941D0"/>
    <w:rsid w:val="00BA44EA"/>
    <w:rsid w:val="00BD1B62"/>
    <w:rsid w:val="00BD27CA"/>
    <w:rsid w:val="00BD7ADF"/>
    <w:rsid w:val="00BE7856"/>
    <w:rsid w:val="00C00133"/>
    <w:rsid w:val="00C15D42"/>
    <w:rsid w:val="00C309A4"/>
    <w:rsid w:val="00C36EAD"/>
    <w:rsid w:val="00C435EC"/>
    <w:rsid w:val="00C44A31"/>
    <w:rsid w:val="00C44B9E"/>
    <w:rsid w:val="00C44DF2"/>
    <w:rsid w:val="00C47DF7"/>
    <w:rsid w:val="00C82958"/>
    <w:rsid w:val="00C900CF"/>
    <w:rsid w:val="00C919B9"/>
    <w:rsid w:val="00CB09CB"/>
    <w:rsid w:val="00CB0ACC"/>
    <w:rsid w:val="00CC4CF0"/>
    <w:rsid w:val="00CD796A"/>
    <w:rsid w:val="00CD7DE8"/>
    <w:rsid w:val="00CF4C33"/>
    <w:rsid w:val="00D074B8"/>
    <w:rsid w:val="00D21974"/>
    <w:rsid w:val="00D36F63"/>
    <w:rsid w:val="00D41C03"/>
    <w:rsid w:val="00D4344B"/>
    <w:rsid w:val="00D83FD2"/>
    <w:rsid w:val="00D84231"/>
    <w:rsid w:val="00D84E65"/>
    <w:rsid w:val="00DA1CCB"/>
    <w:rsid w:val="00DB400F"/>
    <w:rsid w:val="00DB71DA"/>
    <w:rsid w:val="00DF05BF"/>
    <w:rsid w:val="00E00453"/>
    <w:rsid w:val="00E0120B"/>
    <w:rsid w:val="00E11B89"/>
    <w:rsid w:val="00E33AD7"/>
    <w:rsid w:val="00E70438"/>
    <w:rsid w:val="00EB1D85"/>
    <w:rsid w:val="00EC0C21"/>
    <w:rsid w:val="00EC5458"/>
    <w:rsid w:val="00EE6B41"/>
    <w:rsid w:val="00F00379"/>
    <w:rsid w:val="00F051A5"/>
    <w:rsid w:val="00F071CA"/>
    <w:rsid w:val="00F2523B"/>
    <w:rsid w:val="00F33888"/>
    <w:rsid w:val="00F40757"/>
    <w:rsid w:val="00F5034B"/>
    <w:rsid w:val="00F53DE1"/>
    <w:rsid w:val="00F5732A"/>
    <w:rsid w:val="00F86B53"/>
    <w:rsid w:val="00FD2EAE"/>
    <w:rsid w:val="00FF0A09"/>
    <w:rsid w:val="00FF53C5"/>
    <w:rsid w:val="D7E7A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unhideWhenUsed/>
    <w:uiPriority w:val="99"/>
    <w:pPr>
      <w:jc w:val="left"/>
    </w:pPr>
  </w:style>
  <w:style w:type="paragraph" w:styleId="3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17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6">
    <w:name w:val="annotation subject"/>
    <w:basedOn w:val="2"/>
    <w:next w:val="2"/>
    <w:link w:val="19"/>
    <w:semiHidden/>
    <w:unhideWhenUsed/>
    <w:uiPriority w:val="99"/>
    <w:rPr>
      <w:b/>
      <w:bCs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qFormat/>
    <w:uiPriority w:val="0"/>
    <w:rPr>
      <w:rFonts w:ascii="Times New Roman" w:hAnsi="Times New Roman" w:eastAsia="宋体" w:cs="Simplified Arabic"/>
      <w:sz w:val="24"/>
      <w:szCs w:val="24"/>
      <w:lang w:val="en-GB" w:bidi="ar-AE"/>
    </w:rPr>
  </w:style>
  <w:style w:type="character" w:styleId="11">
    <w:name w:val="annotation reference"/>
    <w:basedOn w:val="9"/>
    <w:semiHidden/>
    <w:unhideWhenUsed/>
    <w:uiPriority w:val="99"/>
    <w:rPr>
      <w:sz w:val="21"/>
      <w:szCs w:val="21"/>
    </w:rPr>
  </w:style>
  <w:style w:type="character" w:styleId="12">
    <w:name w:val="footnote reference"/>
    <w:basedOn w:val="9"/>
    <w:semiHidden/>
    <w:unhideWhenUsed/>
    <w:uiPriority w:val="99"/>
    <w:rPr>
      <w:vertAlign w:val="superscript"/>
    </w:rPr>
  </w:style>
  <w:style w:type="character" w:customStyle="1" w:styleId="13">
    <w:name w:val="页脚 字符"/>
    <w:basedOn w:val="9"/>
    <w:link w:val="3"/>
    <w:uiPriority w:val="99"/>
    <w:rPr>
      <w:sz w:val="18"/>
      <w:szCs w:val="18"/>
    </w:rPr>
  </w:style>
  <w:style w:type="paragraph" w:customStyle="1" w:styleId="14">
    <w:name w:val="Footer Right"/>
    <w:basedOn w:val="3"/>
    <w:uiPriority w:val="0"/>
    <w:pPr>
      <w:widowControl/>
      <w:tabs>
        <w:tab w:val="clear" w:pos="4153"/>
        <w:tab w:val="clear" w:pos="8306"/>
      </w:tabs>
      <w:snapToGrid/>
      <w:jc w:val="right"/>
    </w:pPr>
    <w:rPr>
      <w:rFonts w:ascii="Times New Roman" w:hAnsi="Times New Roman" w:eastAsia="宋体" w:cs="Times New Roman"/>
      <w:kern w:val="0"/>
      <w:sz w:val="16"/>
      <w:szCs w:val="16"/>
      <w:lang w:val="en-GB" w:bidi="he-IL"/>
    </w:rPr>
  </w:style>
  <w:style w:type="paragraph" w:customStyle="1" w:styleId="15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6">
    <w:name w:val="页眉 字符"/>
    <w:basedOn w:val="9"/>
    <w:link w:val="4"/>
    <w:uiPriority w:val="99"/>
    <w:rPr>
      <w:sz w:val="18"/>
      <w:szCs w:val="18"/>
    </w:rPr>
  </w:style>
  <w:style w:type="character" w:customStyle="1" w:styleId="17">
    <w:name w:val="脚注文本 字符"/>
    <w:basedOn w:val="9"/>
    <w:link w:val="5"/>
    <w:semiHidden/>
    <w:uiPriority w:val="99"/>
    <w:rPr>
      <w:sz w:val="18"/>
      <w:szCs w:val="18"/>
    </w:rPr>
  </w:style>
  <w:style w:type="character" w:customStyle="1" w:styleId="18">
    <w:name w:val="批注文字 字符"/>
    <w:basedOn w:val="9"/>
    <w:link w:val="2"/>
    <w:uiPriority w:val="99"/>
  </w:style>
  <w:style w:type="character" w:customStyle="1" w:styleId="19">
    <w:name w:val="批注主题 字符"/>
    <w:basedOn w:val="18"/>
    <w:link w:val="6"/>
    <w:semiHidden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242</Words>
  <Characters>1380</Characters>
  <Lines>11</Lines>
  <Paragraphs>3</Paragraphs>
  <TotalTime>9</TotalTime>
  <ScaleCrop>false</ScaleCrop>
  <LinksUpToDate>false</LinksUpToDate>
  <CharactersWithSpaces>1619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2024-07-04T22:22:00Z</dcterms:created>
  <dc:creator>WANG, Yike /ZL</dc:creator>
  <cp:lastModifiedBy>scjuser</cp:lastModifiedBy>
  <dcterms:modified xsi:type="dcterms:W3CDTF">2024-08-01T14:20:00Z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