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E80C0C" w14:textId="76A53279" w:rsidR="00AB1591" w:rsidRDefault="00AB1591" w:rsidP="00906BC7">
      <w:pPr>
        <w:spacing w:after="120" w:line="360" w:lineRule="auto"/>
        <w:jc w:val="center"/>
        <w:rPr>
          <w:rFonts w:ascii="SimHei" w:eastAsia="SimHei" w:hAnsi="SimHei" w:cs="SimHei"/>
          <w:bCs/>
          <w:sz w:val="36"/>
          <w:szCs w:val="36"/>
        </w:rPr>
      </w:pPr>
      <w:r>
        <w:rPr>
          <w:rFonts w:ascii="SimHei" w:eastAsia="SimHei" w:hAnsi="SimHei" w:cs="SimHei" w:hint="eastAsia"/>
          <w:bCs/>
          <w:sz w:val="36"/>
          <w:szCs w:val="36"/>
        </w:rPr>
        <w:t>经营者集中简易案件公示表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1"/>
        <w:gridCol w:w="1796"/>
        <w:gridCol w:w="5783"/>
      </w:tblGrid>
      <w:tr w:rsidR="00AB1591" w14:paraId="2582B65E" w14:textId="77777777" w:rsidTr="00906BC7">
        <w:trPr>
          <w:trHeight w:val="441"/>
          <w:jc w:val="center"/>
        </w:trPr>
        <w:tc>
          <w:tcPr>
            <w:tcW w:w="2061" w:type="dxa"/>
            <w:shd w:val="clear" w:color="auto" w:fill="D9D9D9"/>
            <w:vAlign w:val="center"/>
          </w:tcPr>
          <w:p w14:paraId="02098584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/>
              </w:rPr>
            </w:pPr>
            <w:proofErr w:type="spellStart"/>
            <w:r>
              <w:rPr>
                <w:rFonts w:ascii="SimSun" w:hAnsi="SimSun" w:cs="SimSun" w:hint="eastAsia"/>
                <w:bCs/>
                <w:color w:val="000000"/>
              </w:rPr>
              <w:t>案件名称</w:t>
            </w:r>
            <w:proofErr w:type="spellEnd"/>
          </w:p>
        </w:tc>
        <w:tc>
          <w:tcPr>
            <w:tcW w:w="7579" w:type="dxa"/>
            <w:gridSpan w:val="2"/>
            <w:vAlign w:val="center"/>
          </w:tcPr>
          <w:p w14:paraId="4253D798" w14:textId="24E85D60" w:rsidR="00AB1591" w:rsidRPr="00D210DE" w:rsidRDefault="00A55990" w:rsidP="00D758F5">
            <w:pPr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/>
              </w:rPr>
            </w:pPr>
            <w:r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英国石油公司收购</w:t>
            </w:r>
            <w:proofErr w:type="gramStart"/>
            <w:r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连云港嘉澳新能源</w:t>
            </w:r>
            <w:proofErr w:type="gramEnd"/>
            <w:r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有限公司股权案</w:t>
            </w:r>
          </w:p>
        </w:tc>
      </w:tr>
      <w:tr w:rsidR="00AB1591" w14:paraId="7EA7C63F" w14:textId="77777777" w:rsidTr="00D758F5">
        <w:trPr>
          <w:trHeight w:val="1391"/>
          <w:jc w:val="center"/>
        </w:trPr>
        <w:tc>
          <w:tcPr>
            <w:tcW w:w="2061" w:type="dxa"/>
            <w:shd w:val="clear" w:color="auto" w:fill="D9D9D9"/>
            <w:vAlign w:val="center"/>
          </w:tcPr>
          <w:p w14:paraId="229AFDF4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579" w:type="dxa"/>
            <w:gridSpan w:val="2"/>
            <w:vAlign w:val="center"/>
          </w:tcPr>
          <w:p w14:paraId="2AD1C08A" w14:textId="77777777" w:rsidR="007D2613" w:rsidRDefault="00C1192D" w:rsidP="00CD302B">
            <w:pPr>
              <w:widowControl w:val="0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</w:rPr>
            </w:pPr>
            <w:r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通过其全资子公司与</w:t>
            </w:r>
            <w:proofErr w:type="gramStart"/>
            <w:r w:rsidR="00B2305A"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连云港嘉澳新能源</w:t>
            </w:r>
            <w:proofErr w:type="gramEnd"/>
            <w:r w:rsidR="00B2305A"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有限公司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（“目标公司”）、</w:t>
            </w:r>
            <w:r w:rsidR="00EB0D8A" w:rsidRPr="00EB0D8A">
              <w:rPr>
                <w:rFonts w:ascii="SimSun" w:hAnsi="SimSun" w:cs="SimSun" w:hint="eastAsia"/>
                <w:bCs/>
                <w:color w:val="000000"/>
              </w:rPr>
              <w:t>浙江嘉澳环保科技股份有限公司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（“</w:t>
            </w:r>
            <w:r w:rsidR="00EB0D8A">
              <w:rPr>
                <w:rFonts w:ascii="SimSun" w:hAnsi="SimSun" w:cs="SimSun" w:hint="eastAsia"/>
                <w:bCs/>
                <w:color w:val="000000"/>
              </w:rPr>
              <w:t>嘉澳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”）等各方签署协议，</w:t>
            </w:r>
            <w:r w:rsidR="00181E55">
              <w:rPr>
                <w:rFonts w:ascii="SimSun" w:hAnsi="SimSun" w:cs="SimSun" w:hint="eastAsia"/>
                <w:bCs/>
                <w:color w:val="000000"/>
              </w:rPr>
              <w:t>根据协议，</w:t>
            </w:r>
            <w:r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</w:t>
            </w:r>
            <w:r w:rsidR="00F16405" w:rsidRPr="00EB0D8A">
              <w:rPr>
                <w:rFonts w:ascii="Arial" w:hAnsi="Arial" w:cs="Arial"/>
                <w:bCs/>
                <w:color w:val="000000"/>
              </w:rPr>
              <w:t>将认购</w:t>
            </w:r>
            <w:r w:rsidR="00EB0D8A" w:rsidRPr="00EB0D8A">
              <w:rPr>
                <w:rFonts w:ascii="Arial" w:hAnsi="Arial" w:cs="Arial"/>
                <w:bCs/>
                <w:color w:val="000000"/>
              </w:rPr>
              <w:t>目标公司</w:t>
            </w:r>
            <w:r w:rsidR="00F30D88">
              <w:rPr>
                <w:rFonts w:ascii="Arial" w:hAnsi="Arial" w:cs="Arial" w:hint="eastAsia"/>
                <w:bCs/>
                <w:color w:val="000000"/>
              </w:rPr>
              <w:t>增发的注册资本获得股权</w:t>
            </w:r>
            <w:r w:rsidR="00F16405" w:rsidRPr="00EB0D8A">
              <w:rPr>
                <w:rFonts w:ascii="Arial" w:hAnsi="Arial" w:cs="Arial"/>
                <w:bCs/>
                <w:color w:val="000000"/>
              </w:rPr>
              <w:t>，</w:t>
            </w:r>
            <w:proofErr w:type="gramStart"/>
            <w:r w:rsidR="00F16405" w:rsidRPr="00EB0D8A">
              <w:rPr>
                <w:rFonts w:ascii="Arial" w:hAnsi="Arial" w:cs="Arial"/>
                <w:bCs/>
                <w:color w:val="000000"/>
              </w:rPr>
              <w:t>占目标</w:t>
            </w:r>
            <w:proofErr w:type="gramEnd"/>
            <w:r w:rsidR="00F16405" w:rsidRPr="00EB0D8A">
              <w:rPr>
                <w:rFonts w:ascii="Arial" w:hAnsi="Arial" w:cs="Arial"/>
                <w:bCs/>
                <w:color w:val="000000"/>
              </w:rPr>
              <w:t>公司全部股权的</w:t>
            </w:r>
            <w:r w:rsidR="00F16405" w:rsidRPr="00EB0D8A">
              <w:rPr>
                <w:rFonts w:ascii="Arial" w:hAnsi="Arial" w:cs="Arial"/>
                <w:bCs/>
                <w:color w:val="000000"/>
              </w:rPr>
              <w:t>15.0021%</w:t>
            </w:r>
            <w:r w:rsidR="00CD302B"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（“</w:t>
            </w:r>
            <w:r w:rsidR="00CD302B" w:rsidRPr="004112A7">
              <w:rPr>
                <w:rFonts w:ascii="SimSun" w:hAnsi="SimSun" w:cs="SimSun" w:hint="eastAsia"/>
                <w:bCs/>
                <w:color w:val="000000"/>
                <w:lang w:val="en-US"/>
              </w:rPr>
              <w:t>本交易</w:t>
            </w:r>
            <w:r w:rsidR="00CD302B"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”）</w:t>
            </w:r>
            <w:r w:rsidR="00F16405" w:rsidRPr="00EB0D8A">
              <w:rPr>
                <w:rFonts w:ascii="Arial" w:hAnsi="Arial" w:cs="Arial"/>
                <w:bCs/>
                <w:color w:val="000000"/>
              </w:rPr>
              <w:t>。目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标公司开始运营后，将主要从事可持续航空燃料的生产和供应。</w:t>
            </w:r>
          </w:p>
          <w:p w14:paraId="2F377C49" w14:textId="0F22D308" w:rsidR="00AB1591" w:rsidRDefault="00F51D2D" w:rsidP="00CD302B">
            <w:pPr>
              <w:widowControl w:val="0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</w:rPr>
            </w:pPr>
            <w:r>
              <w:rPr>
                <w:rFonts w:ascii="SimSun" w:hAnsi="SimSun" w:cs="SimSun" w:hint="eastAsia"/>
                <w:bCs/>
                <w:color w:val="000000"/>
              </w:rPr>
              <w:t>本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交易前，</w:t>
            </w:r>
            <w:proofErr w:type="gramStart"/>
            <w:r w:rsidR="00D336EF">
              <w:rPr>
                <w:rFonts w:ascii="SimSun" w:hAnsi="SimSun" w:cs="SimSun" w:hint="eastAsia"/>
                <w:bCs/>
                <w:color w:val="000000"/>
              </w:rPr>
              <w:t>嘉澳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直接</w:t>
            </w:r>
            <w:proofErr w:type="gramEnd"/>
            <w:r w:rsidR="00D336EF">
              <w:rPr>
                <w:rFonts w:ascii="SimSun" w:hAnsi="SimSun" w:cs="SimSun" w:hint="eastAsia"/>
                <w:bCs/>
                <w:color w:val="000000"/>
              </w:rPr>
              <w:t>、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间接持有目标公司</w:t>
            </w:r>
            <w:r w:rsidR="00D336EF">
              <w:rPr>
                <w:rFonts w:ascii="SimSun" w:hAnsi="SimSun" w:cs="SimSun" w:hint="eastAsia"/>
                <w:bCs/>
                <w:color w:val="000000"/>
              </w:rPr>
              <w:t>共计</w:t>
            </w:r>
            <w:r w:rsidR="00F16405" w:rsidRPr="00D336EF">
              <w:rPr>
                <w:rFonts w:ascii="Arial" w:hAnsi="Arial" w:cs="Arial"/>
                <w:bCs/>
                <w:color w:val="000000"/>
              </w:rPr>
              <w:t>60%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的股权，并</w:t>
            </w:r>
            <w:r w:rsidR="00D336EF">
              <w:rPr>
                <w:rFonts w:ascii="SimSun" w:hAnsi="SimSun" w:cs="SimSun" w:hint="eastAsia"/>
                <w:bCs/>
                <w:color w:val="000000"/>
              </w:rPr>
              <w:t>单独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控制目标公司。</w:t>
            </w:r>
            <w:r>
              <w:rPr>
                <w:rFonts w:ascii="SimSun" w:hAnsi="SimSun" w:cs="SimSun" w:hint="eastAsia"/>
                <w:bCs/>
                <w:color w:val="000000"/>
              </w:rPr>
              <w:t>本</w:t>
            </w:r>
            <w:r w:rsidR="00F16405" w:rsidRPr="00F16405">
              <w:rPr>
                <w:rFonts w:ascii="SimSun" w:hAnsi="SimSun" w:cs="SimSun" w:hint="eastAsia"/>
                <w:bCs/>
                <w:color w:val="000000"/>
              </w:rPr>
              <w:t>交易后，</w:t>
            </w:r>
            <w:r w:rsidR="00C1192D"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</w:t>
            </w:r>
            <w:r w:rsidR="00F16405" w:rsidRPr="00D336EF">
              <w:rPr>
                <w:rFonts w:ascii="Arial" w:hAnsi="Arial" w:cs="Arial"/>
                <w:bCs/>
                <w:color w:val="000000"/>
              </w:rPr>
              <w:t>将持有</w:t>
            </w:r>
            <w:r w:rsidR="00D336EF" w:rsidRPr="00D336EF">
              <w:rPr>
                <w:rFonts w:ascii="Arial" w:hAnsi="Arial" w:cs="Arial"/>
                <w:bCs/>
                <w:color w:val="000000"/>
              </w:rPr>
              <w:t>目标公司</w:t>
            </w:r>
            <w:r w:rsidR="00F16405" w:rsidRPr="00D336EF">
              <w:rPr>
                <w:rFonts w:ascii="Arial" w:hAnsi="Arial" w:cs="Arial"/>
                <w:bCs/>
                <w:color w:val="000000"/>
              </w:rPr>
              <w:t>15.0021%</w:t>
            </w:r>
            <w:r w:rsidR="00F16405" w:rsidRPr="00D336EF">
              <w:rPr>
                <w:rFonts w:ascii="Arial" w:hAnsi="Arial" w:cs="Arial"/>
                <w:bCs/>
                <w:color w:val="000000"/>
              </w:rPr>
              <w:t>的</w:t>
            </w:r>
            <w:r w:rsidR="00D336EF" w:rsidRPr="00D336EF">
              <w:rPr>
                <w:rFonts w:ascii="Arial" w:hAnsi="Arial" w:cs="Arial"/>
                <w:bCs/>
                <w:color w:val="000000"/>
              </w:rPr>
              <w:t>股权</w:t>
            </w:r>
            <w:r w:rsidR="00F16405" w:rsidRPr="00D336EF">
              <w:rPr>
                <w:rFonts w:ascii="Arial" w:hAnsi="Arial" w:cs="Arial"/>
                <w:bCs/>
                <w:color w:val="000000"/>
              </w:rPr>
              <w:t>，</w:t>
            </w:r>
            <w:proofErr w:type="gramStart"/>
            <w:r w:rsidR="00561C4A" w:rsidRPr="00D336EF">
              <w:rPr>
                <w:rFonts w:ascii="Arial" w:hAnsi="Arial" w:cs="Arial"/>
                <w:bCs/>
                <w:color w:val="000000"/>
              </w:rPr>
              <w:t>嘉澳</w:t>
            </w:r>
            <w:r w:rsidR="00F73DCF" w:rsidRPr="00F73DCF">
              <w:rPr>
                <w:rFonts w:ascii="Arial" w:hAnsi="Arial" w:cs="Arial" w:hint="eastAsia"/>
                <w:bCs/>
                <w:color w:val="000000"/>
              </w:rPr>
              <w:t>将</w:t>
            </w:r>
            <w:proofErr w:type="gramEnd"/>
            <w:r w:rsidR="00F73DCF" w:rsidRPr="00F73DCF">
              <w:rPr>
                <w:rFonts w:ascii="Arial" w:hAnsi="Arial" w:cs="Arial" w:hint="eastAsia"/>
                <w:bCs/>
                <w:color w:val="000000"/>
              </w:rPr>
              <w:t>合计持有目标公司</w:t>
            </w:r>
            <w:r w:rsidR="00F73DCF" w:rsidRPr="00F73DCF">
              <w:rPr>
                <w:rFonts w:ascii="Arial" w:hAnsi="Arial" w:cs="Arial" w:hint="eastAsia"/>
                <w:bCs/>
                <w:color w:val="000000"/>
              </w:rPr>
              <w:t>51%</w:t>
            </w:r>
            <w:r w:rsidR="00F73DCF" w:rsidRPr="00F73DCF">
              <w:rPr>
                <w:rFonts w:ascii="Arial" w:hAnsi="Arial" w:cs="Arial" w:hint="eastAsia"/>
                <w:bCs/>
                <w:color w:val="000000"/>
              </w:rPr>
              <w:t>的股权</w:t>
            </w:r>
            <w:r w:rsidR="00F73DCF">
              <w:rPr>
                <w:rFonts w:ascii="Arial" w:hAnsi="Arial" w:cs="Arial" w:hint="eastAsia"/>
                <w:bCs/>
                <w:color w:val="000000"/>
              </w:rPr>
              <w:t>，</w:t>
            </w:r>
            <w:r w:rsidR="00C1192D"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</w:t>
            </w:r>
            <w:r w:rsidR="00F16405" w:rsidRPr="00D336EF">
              <w:rPr>
                <w:rFonts w:ascii="Arial" w:hAnsi="Arial" w:cs="Arial"/>
                <w:bCs/>
                <w:color w:val="000000"/>
              </w:rPr>
              <w:t>和</w:t>
            </w:r>
            <w:proofErr w:type="gramStart"/>
            <w:r w:rsidR="00D336EF" w:rsidRPr="00D336EF">
              <w:rPr>
                <w:rFonts w:ascii="Arial" w:hAnsi="Arial" w:cs="Arial"/>
                <w:bCs/>
                <w:color w:val="000000"/>
              </w:rPr>
              <w:t>嘉澳</w:t>
            </w:r>
            <w:proofErr w:type="gramEnd"/>
            <w:r w:rsidR="00F16405" w:rsidRPr="00D336EF">
              <w:rPr>
                <w:rFonts w:ascii="Arial" w:hAnsi="Arial" w:cs="Arial"/>
                <w:bCs/>
                <w:color w:val="000000"/>
              </w:rPr>
              <w:t>将共同控制</w:t>
            </w:r>
            <w:r w:rsidR="00D336EF" w:rsidRPr="00D336EF">
              <w:rPr>
                <w:rFonts w:ascii="Arial" w:hAnsi="Arial" w:cs="Arial"/>
                <w:bCs/>
                <w:color w:val="000000"/>
              </w:rPr>
              <w:t>目标公司</w:t>
            </w:r>
            <w:r w:rsidR="00F16405" w:rsidRPr="00D336EF">
              <w:rPr>
                <w:rFonts w:ascii="Arial" w:hAnsi="Arial" w:cs="Arial"/>
                <w:bCs/>
                <w:color w:val="000000"/>
              </w:rPr>
              <w:t>。</w:t>
            </w:r>
          </w:p>
        </w:tc>
      </w:tr>
      <w:tr w:rsidR="00AB1591" w14:paraId="31172F65" w14:textId="77777777" w:rsidTr="00D758F5">
        <w:trPr>
          <w:trHeight w:val="942"/>
          <w:jc w:val="center"/>
        </w:trPr>
        <w:tc>
          <w:tcPr>
            <w:tcW w:w="2061" w:type="dxa"/>
            <w:vMerge w:val="restart"/>
            <w:shd w:val="clear" w:color="auto" w:fill="D9D9D9"/>
            <w:vAlign w:val="center"/>
          </w:tcPr>
          <w:p w14:paraId="056D54E7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100字以内</w:t>
            </w: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796" w:type="dxa"/>
            <w:vAlign w:val="center"/>
          </w:tcPr>
          <w:p w14:paraId="4E5ED8B1" w14:textId="39CA0D69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1.</w:t>
            </w:r>
            <w:proofErr w:type="spellStart"/>
            <w:r w:rsidR="00C1192D"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</w:t>
            </w:r>
            <w:proofErr w:type="spellEnd"/>
          </w:p>
        </w:tc>
        <w:tc>
          <w:tcPr>
            <w:tcW w:w="5783" w:type="dxa"/>
            <w:vAlign w:val="center"/>
          </w:tcPr>
          <w:p w14:paraId="628BB415" w14:textId="4E357042" w:rsidR="00CB232D" w:rsidRPr="004E33DC" w:rsidRDefault="00CB232D" w:rsidP="00CB232D">
            <w:pPr>
              <w:snapToGrid w:val="0"/>
              <w:spacing w:after="0"/>
              <w:rPr>
                <w:rFonts w:ascii="Arial" w:hAnsi="Arial" w:cs="Arial"/>
              </w:rPr>
            </w:pPr>
            <w:bookmarkStart w:id="0" w:name="_Hlk169903642"/>
            <w:r w:rsidRPr="004E33DC">
              <w:rPr>
                <w:rFonts w:ascii="Arial" w:hAnsi="Arial" w:cs="Arial"/>
              </w:rPr>
              <w:t>英国石油公司于</w:t>
            </w:r>
            <w:r w:rsidRPr="004E33DC">
              <w:rPr>
                <w:rFonts w:ascii="Arial" w:hAnsi="Arial" w:cs="Arial"/>
              </w:rPr>
              <w:t>1909</w:t>
            </w:r>
            <w:r w:rsidRPr="004E33DC">
              <w:rPr>
                <w:rFonts w:ascii="Arial" w:hAnsi="Arial" w:cs="Arial"/>
              </w:rPr>
              <w:t>年</w:t>
            </w:r>
            <w:r w:rsidRPr="004E33DC">
              <w:rPr>
                <w:rFonts w:ascii="Arial" w:hAnsi="Arial" w:cs="Arial"/>
              </w:rPr>
              <w:t>4</w:t>
            </w:r>
            <w:r w:rsidRPr="004E33DC">
              <w:rPr>
                <w:rFonts w:ascii="Arial" w:hAnsi="Arial" w:cs="Arial"/>
              </w:rPr>
              <w:t>月</w:t>
            </w:r>
            <w:r w:rsidRPr="004E33DC">
              <w:rPr>
                <w:rFonts w:ascii="Arial" w:hAnsi="Arial" w:cs="Arial"/>
              </w:rPr>
              <w:t>14</w:t>
            </w:r>
            <w:r w:rsidRPr="004E33DC">
              <w:rPr>
                <w:rFonts w:ascii="Arial" w:hAnsi="Arial" w:cs="Arial"/>
              </w:rPr>
              <w:t>日在英国成立，并分别在伦敦证券交易所、纽约证券交易所和法兰克福证券交易所上市。</w:t>
            </w:r>
            <w:r w:rsidRPr="004E33DC">
              <w:rPr>
                <w:rFonts w:ascii="Arial" w:hAnsi="Arial" w:cs="Arial"/>
                <w:kern w:val="20"/>
              </w:rPr>
              <w:t>公司主要围绕以下方面开展业务：（</w:t>
            </w:r>
            <w:r w:rsidRPr="004E33DC">
              <w:rPr>
                <w:rFonts w:ascii="Arial" w:hAnsi="Arial" w:cs="Arial"/>
                <w:kern w:val="20"/>
              </w:rPr>
              <w:t>1</w:t>
            </w:r>
            <w:r w:rsidRPr="004E33DC">
              <w:rPr>
                <w:rFonts w:ascii="Arial" w:hAnsi="Arial" w:cs="Arial"/>
                <w:kern w:val="20"/>
              </w:rPr>
              <w:t>）碳氢化合物（石油和天然气）的生产和运营；（</w:t>
            </w:r>
            <w:r w:rsidRPr="004E33DC">
              <w:rPr>
                <w:rFonts w:ascii="Arial" w:hAnsi="Arial" w:cs="Arial"/>
                <w:kern w:val="20"/>
              </w:rPr>
              <w:t>2</w:t>
            </w:r>
            <w:r w:rsidRPr="004E33DC">
              <w:rPr>
                <w:rFonts w:ascii="Arial" w:hAnsi="Arial" w:cs="Arial"/>
                <w:kern w:val="20"/>
              </w:rPr>
              <w:t>）客户和产品，为客户提供越来越多的便利和移动产品；</w:t>
            </w:r>
            <w:r w:rsidR="00214181">
              <w:rPr>
                <w:rFonts w:ascii="Arial" w:hAnsi="Arial" w:cs="Arial" w:hint="eastAsia"/>
                <w:kern w:val="20"/>
              </w:rPr>
              <w:t>以及</w:t>
            </w:r>
            <w:r w:rsidRPr="004E33DC">
              <w:rPr>
                <w:rFonts w:ascii="Arial" w:hAnsi="Arial" w:cs="Arial"/>
              </w:rPr>
              <w:t>（</w:t>
            </w:r>
            <w:r w:rsidRPr="004E33DC">
              <w:rPr>
                <w:rFonts w:ascii="Arial" w:hAnsi="Arial" w:cs="Arial"/>
              </w:rPr>
              <w:t>3</w:t>
            </w:r>
            <w:r w:rsidRPr="004E33DC">
              <w:rPr>
                <w:rFonts w:ascii="Arial" w:hAnsi="Arial" w:cs="Arial"/>
              </w:rPr>
              <w:t>）天然气和低碳能源（包括可再生能源和综合天然气）。</w:t>
            </w:r>
            <w:bookmarkEnd w:id="0"/>
          </w:p>
          <w:p w14:paraId="3E612D64" w14:textId="24886A70" w:rsidR="00AB1591" w:rsidRPr="004112A7" w:rsidRDefault="00CB232D" w:rsidP="00CB232D">
            <w:pPr>
              <w:widowControl w:val="0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</w:rPr>
            </w:pPr>
            <w:r w:rsidRPr="004E33DC">
              <w:rPr>
                <w:rFonts w:ascii="Arial" w:hAnsi="Arial" w:cs="Arial"/>
                <w:kern w:val="20"/>
              </w:rPr>
              <w:t>英国石油公司是一家股权结构分散的上市公司，没有最终控制人。</w:t>
            </w:r>
          </w:p>
        </w:tc>
      </w:tr>
      <w:tr w:rsidR="00AB1591" w14:paraId="03FED3EA" w14:textId="77777777" w:rsidTr="00D758F5">
        <w:trPr>
          <w:trHeight w:val="984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6181F5E7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1796" w:type="dxa"/>
            <w:vAlign w:val="center"/>
          </w:tcPr>
          <w:p w14:paraId="51C3924F" w14:textId="40E972FC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2.</w:t>
            </w:r>
            <w:proofErr w:type="gramStart"/>
            <w:r w:rsidR="00A55990"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t>嘉澳</w:t>
            </w:r>
            <w:proofErr w:type="gramEnd"/>
          </w:p>
        </w:tc>
        <w:tc>
          <w:tcPr>
            <w:tcW w:w="5783" w:type="dxa"/>
            <w:vAlign w:val="center"/>
          </w:tcPr>
          <w:p w14:paraId="42394A74" w14:textId="77777777" w:rsidR="00A55990" w:rsidRPr="004112A7" w:rsidRDefault="00A55990" w:rsidP="002A7D50">
            <w:pPr>
              <w:spacing w:after="0"/>
              <w:rPr>
                <w:rFonts w:ascii="Arial" w:hAnsi="Arial" w:cs="Arial"/>
                <w:bCs/>
                <w:color w:val="000000"/>
              </w:rPr>
            </w:pPr>
            <w:proofErr w:type="gramStart"/>
            <w:r w:rsidRPr="004112A7">
              <w:rPr>
                <w:rFonts w:ascii="Arial" w:hAnsi="Arial" w:cs="Arial"/>
                <w:bCs/>
                <w:color w:val="000000"/>
              </w:rPr>
              <w:t>嘉澳于</w:t>
            </w:r>
            <w:proofErr w:type="gramEnd"/>
            <w:r w:rsidRPr="004112A7">
              <w:rPr>
                <w:rFonts w:ascii="Arial" w:hAnsi="Arial" w:cs="Arial"/>
                <w:bCs/>
                <w:color w:val="000000"/>
              </w:rPr>
              <w:t>2003</w:t>
            </w:r>
            <w:r w:rsidRPr="004112A7">
              <w:rPr>
                <w:rFonts w:ascii="Arial" w:hAnsi="Arial" w:cs="Arial"/>
                <w:bCs/>
                <w:color w:val="000000"/>
              </w:rPr>
              <w:t>年</w:t>
            </w:r>
            <w:r w:rsidRPr="004112A7">
              <w:rPr>
                <w:rFonts w:ascii="Arial" w:hAnsi="Arial" w:cs="Arial"/>
                <w:bCs/>
                <w:color w:val="000000"/>
              </w:rPr>
              <w:t>1</w:t>
            </w:r>
            <w:r w:rsidRPr="004112A7">
              <w:rPr>
                <w:rFonts w:ascii="Arial" w:hAnsi="Arial" w:cs="Arial"/>
                <w:bCs/>
                <w:color w:val="000000"/>
              </w:rPr>
              <w:t>月</w:t>
            </w:r>
            <w:r w:rsidRPr="004112A7">
              <w:rPr>
                <w:rFonts w:ascii="Arial" w:hAnsi="Arial" w:cs="Arial"/>
                <w:bCs/>
                <w:color w:val="000000"/>
              </w:rPr>
              <w:t>22</w:t>
            </w:r>
            <w:r w:rsidRPr="004112A7">
              <w:rPr>
                <w:rFonts w:ascii="Arial" w:hAnsi="Arial" w:cs="Arial"/>
                <w:bCs/>
                <w:color w:val="000000"/>
              </w:rPr>
              <w:t>日在浙江省桐乡市成立，为上海证券交易所上市公司。</w:t>
            </w:r>
            <w:proofErr w:type="gramStart"/>
            <w:r w:rsidRPr="004112A7">
              <w:rPr>
                <w:rFonts w:ascii="Arial" w:hAnsi="Arial" w:cs="Arial"/>
                <w:bCs/>
                <w:color w:val="000000"/>
              </w:rPr>
              <w:t>嘉澳从事</w:t>
            </w:r>
            <w:proofErr w:type="gramEnd"/>
            <w:r w:rsidRPr="004112A7">
              <w:rPr>
                <w:rFonts w:ascii="Arial" w:hAnsi="Arial" w:cs="Arial"/>
                <w:bCs/>
                <w:color w:val="000000"/>
              </w:rPr>
              <w:t>生物基增塑剂和生物质能源的研发、生产、销售，其主营产品分环保增塑剂、环保稳定剂、生物质能源三大类。</w:t>
            </w:r>
          </w:p>
          <w:p w14:paraId="29E2FC89" w14:textId="35A1F61B" w:rsidR="00AB1591" w:rsidRPr="004112A7" w:rsidRDefault="00A55990" w:rsidP="002A7D50">
            <w:pPr>
              <w:spacing w:after="0"/>
              <w:rPr>
                <w:rFonts w:ascii="Arial" w:hAnsi="Arial" w:cs="Arial"/>
                <w:bCs/>
                <w:color w:val="000000"/>
              </w:rPr>
            </w:pPr>
            <w:proofErr w:type="gramStart"/>
            <w:r w:rsidRPr="004112A7">
              <w:rPr>
                <w:rFonts w:ascii="Arial" w:hAnsi="Arial" w:cs="Arial"/>
                <w:bCs/>
                <w:color w:val="000000"/>
              </w:rPr>
              <w:t>嘉澳的</w:t>
            </w:r>
            <w:proofErr w:type="gramEnd"/>
            <w:r w:rsidRPr="004112A7">
              <w:rPr>
                <w:rFonts w:ascii="Arial" w:hAnsi="Arial" w:cs="Arial"/>
                <w:bCs/>
                <w:color w:val="000000"/>
              </w:rPr>
              <w:t>最终控制人为自然人</w:t>
            </w:r>
            <w:r w:rsidR="00F6561F" w:rsidRPr="008631B1">
              <w:rPr>
                <w:rFonts w:ascii="Arial" w:hAnsi="Arial" w:cs="Arial" w:hint="eastAsia"/>
                <w:bCs/>
                <w:color w:val="000000"/>
              </w:rPr>
              <w:t>，主要</w:t>
            </w:r>
            <w:r w:rsidR="004A4C79" w:rsidRPr="008631B1">
              <w:rPr>
                <w:rFonts w:ascii="Arial" w:hAnsi="Arial" w:cs="Arial" w:hint="eastAsia"/>
                <w:bCs/>
                <w:color w:val="000000"/>
              </w:rPr>
              <w:t>业务为</w:t>
            </w:r>
            <w:r w:rsidR="00EF5F02" w:rsidRPr="008631B1">
              <w:rPr>
                <w:rFonts w:ascii="Arial" w:hAnsi="Arial" w:cs="Arial" w:hint="eastAsia"/>
                <w:bCs/>
                <w:color w:val="000000"/>
              </w:rPr>
              <w:t>生物基增塑剂和生物质能源、金属材料、汽车零配件、五金产品等</w:t>
            </w:r>
            <w:r w:rsidR="0054640F" w:rsidRPr="008631B1">
              <w:rPr>
                <w:rFonts w:ascii="Arial" w:hAnsi="Arial" w:cs="Arial" w:hint="eastAsia"/>
                <w:bCs/>
                <w:color w:val="000000"/>
              </w:rPr>
              <w:t>产品的</w:t>
            </w:r>
            <w:r w:rsidR="00D47DB2" w:rsidRPr="008631B1">
              <w:rPr>
                <w:rFonts w:ascii="Arial" w:hAnsi="Arial" w:cs="Arial" w:hint="eastAsia"/>
                <w:bCs/>
                <w:color w:val="000000"/>
              </w:rPr>
              <w:t>供应，</w:t>
            </w:r>
            <w:r w:rsidR="0054640F" w:rsidRPr="008631B1">
              <w:rPr>
                <w:rFonts w:ascii="Arial" w:hAnsi="Arial" w:cs="Arial" w:hint="eastAsia"/>
                <w:bCs/>
                <w:color w:val="000000"/>
              </w:rPr>
              <w:t>道路货物运输（含危险货物）及机动车修理和维护</w:t>
            </w:r>
            <w:r w:rsidR="00D47DB2" w:rsidRPr="008631B1">
              <w:rPr>
                <w:rFonts w:ascii="Arial" w:hAnsi="Arial" w:cs="Arial" w:hint="eastAsia"/>
                <w:bCs/>
                <w:color w:val="000000"/>
              </w:rPr>
              <w:t>等</w:t>
            </w:r>
            <w:r w:rsidRPr="004112A7">
              <w:rPr>
                <w:rFonts w:ascii="Arial" w:hAnsi="Arial" w:cs="Arial"/>
                <w:bCs/>
                <w:color w:val="000000"/>
              </w:rPr>
              <w:t>。</w:t>
            </w:r>
          </w:p>
        </w:tc>
      </w:tr>
      <w:tr w:rsidR="00AB1591" w14:paraId="501E4A19" w14:textId="77777777" w:rsidTr="00D758F5">
        <w:trPr>
          <w:trHeight w:val="367"/>
          <w:jc w:val="center"/>
        </w:trPr>
        <w:tc>
          <w:tcPr>
            <w:tcW w:w="2061" w:type="dxa"/>
            <w:vMerge w:val="restart"/>
            <w:shd w:val="clear" w:color="auto" w:fill="D9D9D9"/>
            <w:vAlign w:val="center"/>
          </w:tcPr>
          <w:p w14:paraId="621457B3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579" w:type="dxa"/>
            <w:gridSpan w:val="2"/>
            <w:vAlign w:val="center"/>
          </w:tcPr>
          <w:p w14:paraId="417567DC" w14:textId="77777777" w:rsidR="00AB1591" w:rsidRPr="002A7D50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val="en-US" w:eastAsia="zh-CN"/>
              </w:rPr>
            </w:pP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sym w:font="Wingdings" w:char="00FE"/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 xml:space="preserve"> 1.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在同一相关市场，参与集中的经营者所占的市场份额之和小于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15%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。</w:t>
            </w:r>
          </w:p>
        </w:tc>
      </w:tr>
      <w:tr w:rsidR="00AB1591" w14:paraId="0A058781" w14:textId="77777777" w:rsidTr="00D758F5">
        <w:trPr>
          <w:trHeight w:val="163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350D7F7E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61E0D984" w14:textId="6F1080C4" w:rsidR="00AB1591" w:rsidRPr="002A7D50" w:rsidRDefault="002703AE" w:rsidP="00D758F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val="en-US" w:eastAsia="zh-CN"/>
              </w:rPr>
            </w:pP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sym w:font="Wingdings" w:char="00A8"/>
            </w:r>
            <w:r w:rsidR="00AB1591" w:rsidRPr="002A7D50">
              <w:rPr>
                <w:rFonts w:ascii="Arial" w:hAnsi="Arial" w:cs="Arial"/>
                <w:bCs/>
                <w:color w:val="000000"/>
                <w:lang w:eastAsia="zh-CN"/>
              </w:rPr>
              <w:t xml:space="preserve"> 2.</w:t>
            </w:r>
            <w:r w:rsidR="00AB1591" w:rsidRPr="002A7D50">
              <w:rPr>
                <w:rFonts w:ascii="Arial" w:hAnsi="Arial" w:cs="Arial"/>
                <w:bCs/>
                <w:color w:val="000000"/>
                <w:lang w:eastAsia="zh-CN"/>
              </w:rPr>
              <w:t>在上下游市场，参与集中的经营者所占的市场份额均小于</w:t>
            </w:r>
            <w:r w:rsidR="00AB1591" w:rsidRPr="002A7D50">
              <w:rPr>
                <w:rFonts w:ascii="Arial" w:hAnsi="Arial" w:cs="Arial"/>
                <w:bCs/>
                <w:color w:val="000000"/>
                <w:lang w:eastAsia="zh-CN"/>
              </w:rPr>
              <w:t>25%</w:t>
            </w:r>
            <w:r w:rsidR="00AB1591" w:rsidRPr="002A7D50">
              <w:rPr>
                <w:rFonts w:ascii="Arial" w:hAnsi="Arial" w:cs="Arial"/>
                <w:bCs/>
                <w:color w:val="000000"/>
                <w:lang w:eastAsia="zh-CN"/>
              </w:rPr>
              <w:t>。</w:t>
            </w:r>
          </w:p>
        </w:tc>
      </w:tr>
      <w:tr w:rsidR="00AB1591" w14:paraId="19E202C9" w14:textId="77777777" w:rsidTr="00D758F5">
        <w:trPr>
          <w:trHeight w:val="267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112C1E95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649DEEE0" w14:textId="77777777" w:rsidR="00AB1591" w:rsidRPr="002A7D50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val="en-US" w:eastAsia="zh-CN"/>
              </w:rPr>
            </w:pP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sym w:font="Wingdings" w:char="00A8"/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 xml:space="preserve"> 3.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不在同一相关市场也不存在上下游关系的参与集中的经营者，在与交易有关的每个市场所占的市场份额均小于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25%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。</w:t>
            </w:r>
          </w:p>
        </w:tc>
      </w:tr>
      <w:tr w:rsidR="00AB1591" w14:paraId="496AF483" w14:textId="77777777" w:rsidTr="00D758F5">
        <w:trPr>
          <w:trHeight w:val="617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0E9192B8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01B64B14" w14:textId="77777777" w:rsidR="00AB1591" w:rsidRPr="002A7D50" w:rsidRDefault="00AB1591" w:rsidP="00D758F5">
            <w:pPr>
              <w:pStyle w:val="BodyText"/>
              <w:pageBreakBefore/>
              <w:widowControl w:val="0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val="en-US" w:eastAsia="zh-CN"/>
              </w:rPr>
            </w:pP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sym w:font="Wingdings" w:char="00A8"/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 xml:space="preserve"> 4.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参与集中的经营者在中国境外设立合营企业，合营企业不在中国境内从事经济活动。</w:t>
            </w:r>
          </w:p>
        </w:tc>
      </w:tr>
      <w:tr w:rsidR="00AB1591" w14:paraId="7734741B" w14:textId="77777777" w:rsidTr="00D758F5">
        <w:trPr>
          <w:trHeight w:val="285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273332EA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72350602" w14:textId="77777777" w:rsidR="00AB1591" w:rsidRPr="002A7D50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val="en-US" w:eastAsia="zh-CN"/>
              </w:rPr>
            </w:pP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sym w:font="Wingdings" w:char="00A8"/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 xml:space="preserve"> 5.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参与集中的经营者收购境外企业股权或资产的，该境外企业不在中国境内从事经济活动。</w:t>
            </w:r>
          </w:p>
        </w:tc>
      </w:tr>
      <w:tr w:rsidR="00AB1591" w14:paraId="7849EFAA" w14:textId="77777777" w:rsidTr="00D758F5">
        <w:trPr>
          <w:trHeight w:val="345"/>
          <w:jc w:val="center"/>
        </w:trPr>
        <w:tc>
          <w:tcPr>
            <w:tcW w:w="2061" w:type="dxa"/>
            <w:vMerge/>
            <w:shd w:val="clear" w:color="auto" w:fill="D9D9D9"/>
            <w:vAlign w:val="center"/>
          </w:tcPr>
          <w:p w14:paraId="325739E7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</w:p>
        </w:tc>
        <w:tc>
          <w:tcPr>
            <w:tcW w:w="7579" w:type="dxa"/>
            <w:gridSpan w:val="2"/>
            <w:vAlign w:val="center"/>
          </w:tcPr>
          <w:p w14:paraId="575523C4" w14:textId="77777777" w:rsidR="00AB1591" w:rsidRPr="002A7D50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val="en-US" w:eastAsia="zh-CN"/>
              </w:rPr>
            </w:pP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sym w:font="Wingdings" w:char="00A8"/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 xml:space="preserve"> 6.</w:t>
            </w:r>
            <w:r w:rsidRPr="002A7D50">
              <w:rPr>
                <w:rFonts w:ascii="Arial" w:hAnsi="Arial" w:cs="Arial"/>
                <w:bCs/>
                <w:color w:val="000000"/>
                <w:lang w:eastAsia="zh-CN"/>
              </w:rPr>
              <w:t>由两个以上的经营者共同控制的合营企业，通过集中被其中一个或一个以上经营者控制。</w:t>
            </w:r>
          </w:p>
        </w:tc>
      </w:tr>
      <w:tr w:rsidR="00AB1591" w14:paraId="766EFD51" w14:textId="77777777" w:rsidTr="00906BC7">
        <w:trPr>
          <w:trHeight w:val="1367"/>
          <w:jc w:val="center"/>
        </w:trPr>
        <w:tc>
          <w:tcPr>
            <w:tcW w:w="2061" w:type="dxa"/>
            <w:shd w:val="clear" w:color="auto" w:fill="D9D9D9"/>
            <w:vAlign w:val="center"/>
          </w:tcPr>
          <w:p w14:paraId="477C4850" w14:textId="77777777" w:rsidR="00AB1591" w:rsidRDefault="00AB1591" w:rsidP="00D758F5">
            <w:pPr>
              <w:pStyle w:val="BodyText"/>
              <w:adjustRightInd w:val="0"/>
              <w:snapToGrid w:val="0"/>
              <w:spacing w:after="0"/>
              <w:rPr>
                <w:rFonts w:ascii="SimSun" w:hAnsi="SimSun" w:cs="SimSun"/>
                <w:bCs/>
                <w:color w:val="000000"/>
                <w:lang w:val="en-US" w:eastAsia="zh-CN"/>
              </w:rPr>
            </w:pPr>
            <w:r>
              <w:rPr>
                <w:rFonts w:ascii="SimSun" w:hAnsi="SimSun" w:cs="SimSun" w:hint="eastAsia"/>
                <w:bCs/>
                <w:color w:val="000000"/>
                <w:lang w:val="en-US" w:eastAsia="zh-CN"/>
              </w:rPr>
              <w:lastRenderedPageBreak/>
              <w:t>备注</w:t>
            </w:r>
          </w:p>
        </w:tc>
        <w:tc>
          <w:tcPr>
            <w:tcW w:w="7579" w:type="dxa"/>
            <w:gridSpan w:val="2"/>
            <w:vAlign w:val="center"/>
          </w:tcPr>
          <w:p w14:paraId="377BA377" w14:textId="688D0FD8" w:rsidR="00A735C5" w:rsidRPr="00D57118" w:rsidRDefault="00A735C5" w:rsidP="00A735C5">
            <w:pPr>
              <w:spacing w:after="0" w:line="290" w:lineRule="auto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 w:hint="eastAsia"/>
                <w:b/>
                <w:color w:val="000000"/>
              </w:rPr>
              <w:t>横向重叠：</w:t>
            </w:r>
          </w:p>
          <w:p w14:paraId="1D3AD85C" w14:textId="41C5EBEA" w:rsidR="00A735C5" w:rsidRPr="00D57118" w:rsidRDefault="00A735C5" w:rsidP="00A735C5">
            <w:pPr>
              <w:spacing w:after="0" w:line="290" w:lineRule="auto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2023</w:t>
            </w:r>
            <w:r>
              <w:rPr>
                <w:rFonts w:ascii="Arial" w:hAnsi="Arial" w:cs="Arial" w:hint="eastAsia"/>
                <w:bCs/>
                <w:color w:val="000000"/>
              </w:rPr>
              <w:t>年全球可持续航空燃料</w:t>
            </w:r>
            <w:r w:rsidR="00B66C27">
              <w:rPr>
                <w:rFonts w:ascii="Arial" w:hAnsi="Arial" w:cs="Arial" w:hint="eastAsia"/>
                <w:bCs/>
                <w:color w:val="000000"/>
              </w:rPr>
              <w:t>市场：</w:t>
            </w:r>
          </w:p>
          <w:p w14:paraId="758B09E0" w14:textId="6E0E9C6D" w:rsidR="00A735C5" w:rsidRPr="00096BC0" w:rsidRDefault="00C1192D" w:rsidP="00A735C5">
            <w:pPr>
              <w:spacing w:after="0" w:line="290" w:lineRule="auto"/>
              <w:rPr>
                <w:rFonts w:ascii="Arial" w:hAnsi="Arial" w:cs="Arial"/>
                <w:bCs/>
                <w:color w:val="000000"/>
              </w:rPr>
            </w:pPr>
            <w:r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</w:t>
            </w:r>
            <w:r w:rsidR="00B66C27">
              <w:rPr>
                <w:rFonts w:ascii="Arial" w:hAnsi="Arial" w:cs="Arial" w:hint="eastAsia"/>
                <w:bCs/>
                <w:color w:val="000000"/>
              </w:rPr>
              <w:t>：</w:t>
            </w:r>
            <w:r w:rsidR="00A735C5" w:rsidRPr="00096BC0">
              <w:rPr>
                <w:rFonts w:ascii="Arial" w:hAnsi="Arial" w:cs="Arial" w:hint="eastAsia"/>
                <w:bCs/>
                <w:color w:val="000000"/>
              </w:rPr>
              <w:t>[5-10]</w:t>
            </w:r>
            <w:r w:rsidR="00A735C5" w:rsidRPr="00096BC0">
              <w:rPr>
                <w:rFonts w:ascii="Arial" w:hAnsi="Arial" w:cs="Arial"/>
                <w:bCs/>
                <w:color w:val="000000"/>
              </w:rPr>
              <w:t>%</w:t>
            </w:r>
            <w:r w:rsidR="00B66C27">
              <w:rPr>
                <w:rFonts w:ascii="Arial" w:hAnsi="Arial" w:cs="Arial" w:hint="eastAsia"/>
                <w:bCs/>
                <w:color w:val="000000"/>
              </w:rPr>
              <w:t>；</w:t>
            </w:r>
          </w:p>
          <w:p w14:paraId="7206C903" w14:textId="12B13BD6" w:rsidR="00A735C5" w:rsidRPr="00096BC0" w:rsidRDefault="00B66C27" w:rsidP="00A735C5">
            <w:pPr>
              <w:spacing w:after="0" w:line="290" w:lineRule="auto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目标公司：</w:t>
            </w:r>
            <w:r w:rsidR="00A735C5" w:rsidRPr="00096BC0">
              <w:rPr>
                <w:rFonts w:ascii="Arial" w:hAnsi="Arial" w:cs="Arial" w:hint="eastAsia"/>
                <w:bCs/>
                <w:color w:val="000000"/>
              </w:rPr>
              <w:t>[</w:t>
            </w:r>
            <w:r w:rsidR="00A735C5" w:rsidRPr="00096BC0">
              <w:rPr>
                <w:rFonts w:ascii="Arial" w:hAnsi="Arial" w:cs="Arial"/>
                <w:bCs/>
                <w:color w:val="000000"/>
              </w:rPr>
              <w:t>0-5</w:t>
            </w:r>
            <w:r w:rsidR="00A735C5" w:rsidRPr="00096BC0">
              <w:rPr>
                <w:rFonts w:ascii="Arial" w:hAnsi="Arial" w:cs="Arial" w:hint="eastAsia"/>
                <w:bCs/>
                <w:color w:val="000000"/>
              </w:rPr>
              <w:t>]</w:t>
            </w:r>
            <w:r w:rsidR="00A735C5" w:rsidRPr="00096BC0">
              <w:rPr>
                <w:rFonts w:ascii="Arial" w:hAnsi="Arial" w:cs="Arial"/>
                <w:bCs/>
                <w:color w:val="000000"/>
              </w:rPr>
              <w:t>%</w:t>
            </w:r>
            <w:r>
              <w:rPr>
                <w:rFonts w:ascii="Arial" w:hAnsi="Arial" w:cs="Arial" w:hint="eastAsia"/>
                <w:bCs/>
                <w:color w:val="000000"/>
              </w:rPr>
              <w:t>；</w:t>
            </w:r>
          </w:p>
          <w:p w14:paraId="3EDAA300" w14:textId="77777777" w:rsidR="00AB1591" w:rsidRDefault="00B66C27" w:rsidP="00A735C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eastAsia="zh-CN"/>
              </w:rPr>
            </w:pPr>
            <w:r>
              <w:rPr>
                <w:rFonts w:ascii="Arial" w:hAnsi="Arial" w:cs="Arial" w:hint="eastAsia"/>
                <w:bCs/>
                <w:color w:val="000000"/>
                <w:lang w:eastAsia="zh-CN"/>
              </w:rPr>
              <w:t>合计：</w:t>
            </w:r>
            <w:r w:rsidR="00A735C5" w:rsidRPr="00096BC0">
              <w:rPr>
                <w:rFonts w:ascii="Arial" w:hAnsi="Arial" w:cs="Arial" w:hint="eastAsia"/>
                <w:bCs/>
                <w:color w:val="000000"/>
                <w:lang w:eastAsia="zh-CN"/>
              </w:rPr>
              <w:t>[5-10]</w:t>
            </w:r>
            <w:r w:rsidR="00A735C5" w:rsidRPr="00096BC0">
              <w:rPr>
                <w:rFonts w:ascii="Arial" w:hAnsi="Arial" w:cs="Arial"/>
                <w:bCs/>
                <w:color w:val="000000"/>
                <w:lang w:eastAsia="zh-CN"/>
              </w:rPr>
              <w:t>%</w:t>
            </w:r>
            <w:r>
              <w:rPr>
                <w:rFonts w:ascii="Arial" w:hAnsi="Arial" w:cs="Arial" w:hint="eastAsia"/>
                <w:bCs/>
                <w:color w:val="000000"/>
                <w:lang w:eastAsia="zh-CN"/>
              </w:rPr>
              <w:t>。</w:t>
            </w:r>
          </w:p>
          <w:p w14:paraId="6FB0F49E" w14:textId="77777777" w:rsidR="00F6561F" w:rsidRDefault="00F6561F" w:rsidP="00A735C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eastAsia="zh-CN"/>
              </w:rPr>
            </w:pPr>
          </w:p>
          <w:p w14:paraId="401786AC" w14:textId="707CD97B" w:rsidR="00F6561F" w:rsidRPr="00D57118" w:rsidRDefault="00F6561F" w:rsidP="00F6561F">
            <w:pPr>
              <w:spacing w:after="0" w:line="290" w:lineRule="auto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2023</w:t>
            </w:r>
            <w:r>
              <w:rPr>
                <w:rFonts w:ascii="Arial" w:hAnsi="Arial" w:cs="Arial" w:hint="eastAsia"/>
                <w:bCs/>
                <w:color w:val="000000"/>
              </w:rPr>
              <w:t>年中国</w:t>
            </w:r>
            <w:r w:rsidR="00561C4A">
              <w:rPr>
                <w:rFonts w:ascii="Arial" w:hAnsi="Arial" w:cs="Arial" w:hint="eastAsia"/>
                <w:bCs/>
                <w:color w:val="000000"/>
              </w:rPr>
              <w:t>境内</w:t>
            </w:r>
            <w:r>
              <w:rPr>
                <w:rFonts w:ascii="Arial" w:hAnsi="Arial" w:cs="Arial" w:hint="eastAsia"/>
                <w:bCs/>
                <w:color w:val="000000"/>
              </w:rPr>
              <w:t>可持续航空燃料市场：</w:t>
            </w:r>
          </w:p>
          <w:p w14:paraId="619658BD" w14:textId="31E72525" w:rsidR="00F6561F" w:rsidRPr="00096BC0" w:rsidRDefault="00F6561F" w:rsidP="00F6561F">
            <w:pPr>
              <w:spacing w:after="0" w:line="290" w:lineRule="auto"/>
              <w:rPr>
                <w:rFonts w:ascii="Arial" w:hAnsi="Arial" w:cs="Arial"/>
                <w:bCs/>
                <w:color w:val="000000"/>
              </w:rPr>
            </w:pPr>
            <w:r w:rsidRPr="00A55990">
              <w:rPr>
                <w:rFonts w:ascii="SimSun" w:hAnsi="SimSun" w:cs="SimSun" w:hint="eastAsia"/>
                <w:bCs/>
                <w:color w:val="000000"/>
                <w:lang w:val="en-US"/>
              </w:rPr>
              <w:t>英国石油公司</w:t>
            </w:r>
            <w:r>
              <w:rPr>
                <w:rFonts w:ascii="Arial" w:hAnsi="Arial" w:cs="Arial" w:hint="eastAsia"/>
                <w:bCs/>
                <w:color w:val="000000"/>
              </w:rPr>
              <w:t>：</w:t>
            </w:r>
            <w:r w:rsidRPr="00096BC0">
              <w:rPr>
                <w:rFonts w:ascii="Arial" w:hAnsi="Arial" w:cs="Arial" w:hint="eastAsia"/>
                <w:bCs/>
                <w:color w:val="000000"/>
              </w:rPr>
              <w:t>[</w:t>
            </w:r>
            <w:r>
              <w:rPr>
                <w:rFonts w:ascii="Arial" w:hAnsi="Arial" w:cs="Arial" w:hint="eastAsia"/>
                <w:bCs/>
                <w:color w:val="000000"/>
              </w:rPr>
              <w:t>0-5</w:t>
            </w:r>
            <w:r w:rsidRPr="00096BC0">
              <w:rPr>
                <w:rFonts w:ascii="Arial" w:hAnsi="Arial" w:cs="Arial" w:hint="eastAsia"/>
                <w:bCs/>
                <w:color w:val="000000"/>
              </w:rPr>
              <w:t>]</w:t>
            </w:r>
            <w:r w:rsidRPr="00096BC0">
              <w:rPr>
                <w:rFonts w:ascii="Arial" w:hAnsi="Arial" w:cs="Arial"/>
                <w:bCs/>
                <w:color w:val="000000"/>
              </w:rPr>
              <w:t>%</w:t>
            </w:r>
            <w:r>
              <w:rPr>
                <w:rFonts w:ascii="Arial" w:hAnsi="Arial" w:cs="Arial" w:hint="eastAsia"/>
                <w:bCs/>
                <w:color w:val="000000"/>
              </w:rPr>
              <w:t>；</w:t>
            </w:r>
          </w:p>
          <w:p w14:paraId="5FD725D9" w14:textId="77777777" w:rsidR="00F6561F" w:rsidRPr="00096BC0" w:rsidRDefault="00F6561F" w:rsidP="00F6561F">
            <w:pPr>
              <w:spacing w:after="0" w:line="290" w:lineRule="auto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 w:hint="eastAsia"/>
                <w:bCs/>
                <w:color w:val="000000"/>
              </w:rPr>
              <w:t>目标公司：</w:t>
            </w:r>
            <w:r w:rsidRPr="00096BC0">
              <w:rPr>
                <w:rFonts w:ascii="Arial" w:hAnsi="Arial" w:cs="Arial" w:hint="eastAsia"/>
                <w:bCs/>
                <w:color w:val="000000"/>
              </w:rPr>
              <w:t>[</w:t>
            </w:r>
            <w:r w:rsidRPr="00096BC0">
              <w:rPr>
                <w:rFonts w:ascii="Arial" w:hAnsi="Arial" w:cs="Arial"/>
                <w:bCs/>
                <w:color w:val="000000"/>
              </w:rPr>
              <w:t>0-5</w:t>
            </w:r>
            <w:r w:rsidRPr="00096BC0">
              <w:rPr>
                <w:rFonts w:ascii="Arial" w:hAnsi="Arial" w:cs="Arial" w:hint="eastAsia"/>
                <w:bCs/>
                <w:color w:val="000000"/>
              </w:rPr>
              <w:t>]</w:t>
            </w:r>
            <w:r w:rsidRPr="00096BC0">
              <w:rPr>
                <w:rFonts w:ascii="Arial" w:hAnsi="Arial" w:cs="Arial"/>
                <w:bCs/>
                <w:color w:val="000000"/>
              </w:rPr>
              <w:t>%</w:t>
            </w:r>
            <w:r>
              <w:rPr>
                <w:rFonts w:ascii="Arial" w:hAnsi="Arial" w:cs="Arial" w:hint="eastAsia"/>
                <w:bCs/>
                <w:color w:val="000000"/>
              </w:rPr>
              <w:t>；</w:t>
            </w:r>
          </w:p>
          <w:p w14:paraId="70187C8C" w14:textId="0BF1364D" w:rsidR="00F6561F" w:rsidRPr="00F6561F" w:rsidRDefault="00F6561F" w:rsidP="00A735C5">
            <w:pPr>
              <w:pStyle w:val="BodyText"/>
              <w:adjustRightInd w:val="0"/>
              <w:snapToGrid w:val="0"/>
              <w:spacing w:after="0"/>
              <w:rPr>
                <w:rFonts w:ascii="Arial" w:hAnsi="Arial" w:cs="Arial"/>
                <w:bCs/>
                <w:color w:val="000000"/>
                <w:lang w:eastAsia="zh-CN"/>
              </w:rPr>
            </w:pPr>
            <w:r>
              <w:rPr>
                <w:rFonts w:ascii="Arial" w:hAnsi="Arial" w:cs="Arial" w:hint="eastAsia"/>
                <w:bCs/>
                <w:color w:val="000000"/>
                <w:lang w:eastAsia="zh-CN"/>
              </w:rPr>
              <w:t>合计：</w:t>
            </w:r>
            <w:r w:rsidRPr="00096BC0">
              <w:rPr>
                <w:rFonts w:ascii="Arial" w:hAnsi="Arial" w:cs="Arial" w:hint="eastAsia"/>
                <w:bCs/>
                <w:color w:val="000000"/>
              </w:rPr>
              <w:t>[</w:t>
            </w:r>
            <w:r>
              <w:rPr>
                <w:rFonts w:ascii="Arial" w:hAnsi="Arial" w:cs="Arial" w:hint="eastAsia"/>
                <w:bCs/>
                <w:color w:val="000000"/>
                <w:lang w:eastAsia="zh-CN"/>
              </w:rPr>
              <w:t>0-5</w:t>
            </w:r>
            <w:r w:rsidRPr="00096BC0">
              <w:rPr>
                <w:rFonts w:ascii="Arial" w:hAnsi="Arial" w:cs="Arial" w:hint="eastAsia"/>
                <w:bCs/>
                <w:color w:val="000000"/>
              </w:rPr>
              <w:t>]</w:t>
            </w:r>
            <w:r w:rsidRPr="00096BC0">
              <w:rPr>
                <w:rFonts w:ascii="Arial" w:hAnsi="Arial" w:cs="Arial"/>
                <w:bCs/>
                <w:color w:val="000000"/>
              </w:rPr>
              <w:t>%</w:t>
            </w:r>
            <w:r>
              <w:rPr>
                <w:rFonts w:ascii="Arial" w:hAnsi="Arial" w:cs="Arial" w:hint="eastAsia"/>
                <w:bCs/>
                <w:color w:val="000000"/>
                <w:lang w:eastAsia="zh-CN"/>
              </w:rPr>
              <w:t>。</w:t>
            </w:r>
          </w:p>
        </w:tc>
      </w:tr>
    </w:tbl>
    <w:p w14:paraId="0D8914B2" w14:textId="43E3242E" w:rsidR="00AB1591" w:rsidRPr="00F372D2" w:rsidRDefault="00AB1591" w:rsidP="00F372D2">
      <w:pPr>
        <w:pStyle w:val="BodyText"/>
        <w:adjustRightInd w:val="0"/>
        <w:snapToGrid w:val="0"/>
        <w:spacing w:after="0"/>
        <w:rPr>
          <w:rFonts w:ascii="SimSun" w:hAnsi="SimSun" w:cs="SimSun"/>
          <w:bCs/>
          <w:color w:val="000000"/>
          <w:lang w:eastAsia="zh-CN"/>
        </w:rPr>
      </w:pPr>
    </w:p>
    <w:sectPr w:rsidR="00AB1591" w:rsidRPr="00F372D2" w:rsidSect="00D3037B"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B3E5BD" w14:textId="77777777" w:rsidR="006B534F" w:rsidRDefault="006B534F">
      <w:pPr>
        <w:spacing w:after="0"/>
      </w:pPr>
      <w:r>
        <w:separator/>
      </w:r>
    </w:p>
  </w:endnote>
  <w:endnote w:type="continuationSeparator" w:id="0">
    <w:p w14:paraId="435AC61E" w14:textId="77777777" w:rsidR="006B534F" w:rsidRDefault="006B534F">
      <w:pPr>
        <w:spacing w:after="0"/>
      </w:pPr>
      <w:r>
        <w:continuationSeparator/>
      </w:r>
    </w:p>
  </w:endnote>
  <w:endnote w:type="continuationNotice" w:id="1">
    <w:p w14:paraId="21367226" w14:textId="77777777" w:rsidR="006B534F" w:rsidRDefault="006B534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D5FA85" w14:textId="77777777" w:rsidR="006B534F" w:rsidRDefault="006B534F">
      <w:pPr>
        <w:spacing w:after="0"/>
      </w:pPr>
      <w:r>
        <w:separator/>
      </w:r>
    </w:p>
  </w:footnote>
  <w:footnote w:type="continuationSeparator" w:id="0">
    <w:p w14:paraId="02228608" w14:textId="77777777" w:rsidR="006B534F" w:rsidRDefault="006B534F">
      <w:pPr>
        <w:spacing w:after="0"/>
      </w:pPr>
      <w:r>
        <w:continuationSeparator/>
      </w:r>
    </w:p>
  </w:footnote>
  <w:footnote w:type="continuationNotice" w:id="1">
    <w:p w14:paraId="21DCB638" w14:textId="77777777" w:rsidR="006B534F" w:rsidRDefault="006B534F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195CAD"/>
    <w:multiLevelType w:val="multilevel"/>
    <w:tmpl w:val="25195CAD"/>
    <w:lvl w:ilvl="0">
      <w:start w:val="1"/>
      <w:numFmt w:val="bullet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440031797">
    <w:abstractNumId w:val="2"/>
  </w:num>
  <w:num w:numId="2" w16cid:durableId="1890915228">
    <w:abstractNumId w:val="0"/>
  </w:num>
  <w:num w:numId="3" w16cid:durableId="158425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removePersonalInformation/>
  <w:removeDateAndTime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oNotTrackMoves/>
  <w:doNotTrackFormatting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0484E"/>
    <w:rsid w:val="000150B7"/>
    <w:rsid w:val="00021AB2"/>
    <w:rsid w:val="00031015"/>
    <w:rsid w:val="000326C8"/>
    <w:rsid w:val="000350B3"/>
    <w:rsid w:val="00041C40"/>
    <w:rsid w:val="0004292A"/>
    <w:rsid w:val="000467AA"/>
    <w:rsid w:val="00061ACC"/>
    <w:rsid w:val="00062616"/>
    <w:rsid w:val="00073E6B"/>
    <w:rsid w:val="0007723F"/>
    <w:rsid w:val="00077D60"/>
    <w:rsid w:val="00083590"/>
    <w:rsid w:val="00092F4E"/>
    <w:rsid w:val="000B58E5"/>
    <w:rsid w:val="000B5958"/>
    <w:rsid w:val="000B653C"/>
    <w:rsid w:val="000C12E5"/>
    <w:rsid w:val="000C6953"/>
    <w:rsid w:val="000D0853"/>
    <w:rsid w:val="000D734E"/>
    <w:rsid w:val="000E29A9"/>
    <w:rsid w:val="000E3A81"/>
    <w:rsid w:val="00107E19"/>
    <w:rsid w:val="00115F62"/>
    <w:rsid w:val="00123E26"/>
    <w:rsid w:val="0013032F"/>
    <w:rsid w:val="001435C8"/>
    <w:rsid w:val="00144ED5"/>
    <w:rsid w:val="00145A04"/>
    <w:rsid w:val="00145B05"/>
    <w:rsid w:val="00156FEF"/>
    <w:rsid w:val="001639D8"/>
    <w:rsid w:val="00167474"/>
    <w:rsid w:val="00181E55"/>
    <w:rsid w:val="00186A05"/>
    <w:rsid w:val="001965E2"/>
    <w:rsid w:val="001B4EA1"/>
    <w:rsid w:val="001C5840"/>
    <w:rsid w:val="001C611D"/>
    <w:rsid w:val="001D1555"/>
    <w:rsid w:val="001D6168"/>
    <w:rsid w:val="001E0F1F"/>
    <w:rsid w:val="001F346E"/>
    <w:rsid w:val="001F35AA"/>
    <w:rsid w:val="001F367B"/>
    <w:rsid w:val="002003C5"/>
    <w:rsid w:val="00214181"/>
    <w:rsid w:val="00221CD7"/>
    <w:rsid w:val="00224A7C"/>
    <w:rsid w:val="00227605"/>
    <w:rsid w:val="002278D1"/>
    <w:rsid w:val="00231665"/>
    <w:rsid w:val="00233737"/>
    <w:rsid w:val="002403B5"/>
    <w:rsid w:val="00245281"/>
    <w:rsid w:val="00250E61"/>
    <w:rsid w:val="00261F94"/>
    <w:rsid w:val="002676B9"/>
    <w:rsid w:val="00267941"/>
    <w:rsid w:val="002703AE"/>
    <w:rsid w:val="00287E91"/>
    <w:rsid w:val="00291652"/>
    <w:rsid w:val="00295A9A"/>
    <w:rsid w:val="002964A1"/>
    <w:rsid w:val="002A25F2"/>
    <w:rsid w:val="002A2905"/>
    <w:rsid w:val="002A7C26"/>
    <w:rsid w:val="002A7D50"/>
    <w:rsid w:val="002D0419"/>
    <w:rsid w:val="002E19BF"/>
    <w:rsid w:val="002E32AB"/>
    <w:rsid w:val="002F09A7"/>
    <w:rsid w:val="002F5271"/>
    <w:rsid w:val="00306B88"/>
    <w:rsid w:val="00310488"/>
    <w:rsid w:val="00311263"/>
    <w:rsid w:val="0034107F"/>
    <w:rsid w:val="00344D27"/>
    <w:rsid w:val="0035604C"/>
    <w:rsid w:val="00371332"/>
    <w:rsid w:val="0037525D"/>
    <w:rsid w:val="003850D4"/>
    <w:rsid w:val="00385F00"/>
    <w:rsid w:val="003866EF"/>
    <w:rsid w:val="003A4565"/>
    <w:rsid w:val="003B27EC"/>
    <w:rsid w:val="003B2F86"/>
    <w:rsid w:val="003B4439"/>
    <w:rsid w:val="003B4C9E"/>
    <w:rsid w:val="003B7CBC"/>
    <w:rsid w:val="003C3456"/>
    <w:rsid w:val="003D3FCB"/>
    <w:rsid w:val="003D434B"/>
    <w:rsid w:val="003E3B57"/>
    <w:rsid w:val="003E73DB"/>
    <w:rsid w:val="003F1EAC"/>
    <w:rsid w:val="00410914"/>
    <w:rsid w:val="004112A7"/>
    <w:rsid w:val="004119F5"/>
    <w:rsid w:val="004166B2"/>
    <w:rsid w:val="004203EF"/>
    <w:rsid w:val="00427E52"/>
    <w:rsid w:val="00446353"/>
    <w:rsid w:val="0044739B"/>
    <w:rsid w:val="00447FA5"/>
    <w:rsid w:val="00467A6B"/>
    <w:rsid w:val="00483A62"/>
    <w:rsid w:val="0049707A"/>
    <w:rsid w:val="004973DB"/>
    <w:rsid w:val="0049771A"/>
    <w:rsid w:val="004A4BF1"/>
    <w:rsid w:val="004A4C79"/>
    <w:rsid w:val="004C3420"/>
    <w:rsid w:val="004D018B"/>
    <w:rsid w:val="004D124C"/>
    <w:rsid w:val="004D4435"/>
    <w:rsid w:val="00504EF0"/>
    <w:rsid w:val="00512A53"/>
    <w:rsid w:val="00523905"/>
    <w:rsid w:val="005251B9"/>
    <w:rsid w:val="00530BB4"/>
    <w:rsid w:val="00545A47"/>
    <w:rsid w:val="0054640F"/>
    <w:rsid w:val="00546F70"/>
    <w:rsid w:val="005517F9"/>
    <w:rsid w:val="00557B7E"/>
    <w:rsid w:val="00561C4A"/>
    <w:rsid w:val="0057200D"/>
    <w:rsid w:val="00584750"/>
    <w:rsid w:val="00591CEC"/>
    <w:rsid w:val="005A74EA"/>
    <w:rsid w:val="005B0CEB"/>
    <w:rsid w:val="005B18A3"/>
    <w:rsid w:val="005D277C"/>
    <w:rsid w:val="005D6D17"/>
    <w:rsid w:val="005E4B84"/>
    <w:rsid w:val="005E7B2F"/>
    <w:rsid w:val="005F5280"/>
    <w:rsid w:val="005F7223"/>
    <w:rsid w:val="005F7715"/>
    <w:rsid w:val="0060413B"/>
    <w:rsid w:val="00605EE6"/>
    <w:rsid w:val="0060669E"/>
    <w:rsid w:val="00614EBB"/>
    <w:rsid w:val="0061583E"/>
    <w:rsid w:val="00617BCA"/>
    <w:rsid w:val="00632159"/>
    <w:rsid w:val="00645B6A"/>
    <w:rsid w:val="00651ED7"/>
    <w:rsid w:val="00652D70"/>
    <w:rsid w:val="00655225"/>
    <w:rsid w:val="0065640F"/>
    <w:rsid w:val="00664174"/>
    <w:rsid w:val="006643EA"/>
    <w:rsid w:val="0067348D"/>
    <w:rsid w:val="006745A9"/>
    <w:rsid w:val="00682729"/>
    <w:rsid w:val="006A3F69"/>
    <w:rsid w:val="006A5B9F"/>
    <w:rsid w:val="006A6F18"/>
    <w:rsid w:val="006B4541"/>
    <w:rsid w:val="006B534F"/>
    <w:rsid w:val="006D1E2B"/>
    <w:rsid w:val="006E0D98"/>
    <w:rsid w:val="006E3180"/>
    <w:rsid w:val="006E6E26"/>
    <w:rsid w:val="006E70AA"/>
    <w:rsid w:val="006F28E7"/>
    <w:rsid w:val="006F7A98"/>
    <w:rsid w:val="007029CB"/>
    <w:rsid w:val="00705778"/>
    <w:rsid w:val="00710977"/>
    <w:rsid w:val="0071288A"/>
    <w:rsid w:val="0071373B"/>
    <w:rsid w:val="00720F7B"/>
    <w:rsid w:val="00726B19"/>
    <w:rsid w:val="00727BD0"/>
    <w:rsid w:val="007373F0"/>
    <w:rsid w:val="00742AFE"/>
    <w:rsid w:val="00742EDF"/>
    <w:rsid w:val="00751420"/>
    <w:rsid w:val="007674D7"/>
    <w:rsid w:val="00772298"/>
    <w:rsid w:val="00794062"/>
    <w:rsid w:val="00797584"/>
    <w:rsid w:val="007A2D94"/>
    <w:rsid w:val="007B651A"/>
    <w:rsid w:val="007B6ED8"/>
    <w:rsid w:val="007B75E4"/>
    <w:rsid w:val="007D1D52"/>
    <w:rsid w:val="007D2613"/>
    <w:rsid w:val="007E2608"/>
    <w:rsid w:val="007F1726"/>
    <w:rsid w:val="0080200E"/>
    <w:rsid w:val="00803A33"/>
    <w:rsid w:val="008051ED"/>
    <w:rsid w:val="00811775"/>
    <w:rsid w:val="008248B2"/>
    <w:rsid w:val="00834D88"/>
    <w:rsid w:val="0086158E"/>
    <w:rsid w:val="008631B1"/>
    <w:rsid w:val="00864085"/>
    <w:rsid w:val="008803D0"/>
    <w:rsid w:val="00880F24"/>
    <w:rsid w:val="008836AF"/>
    <w:rsid w:val="00885C9B"/>
    <w:rsid w:val="00886C3E"/>
    <w:rsid w:val="00893879"/>
    <w:rsid w:val="008B2172"/>
    <w:rsid w:val="008B5D17"/>
    <w:rsid w:val="008D4ED8"/>
    <w:rsid w:val="008D644E"/>
    <w:rsid w:val="008E5BCA"/>
    <w:rsid w:val="009022B0"/>
    <w:rsid w:val="00905F4A"/>
    <w:rsid w:val="00906BC7"/>
    <w:rsid w:val="009145E4"/>
    <w:rsid w:val="009301D9"/>
    <w:rsid w:val="00930FD7"/>
    <w:rsid w:val="0094346F"/>
    <w:rsid w:val="00953187"/>
    <w:rsid w:val="009551E9"/>
    <w:rsid w:val="0096333E"/>
    <w:rsid w:val="009668EC"/>
    <w:rsid w:val="00977C3B"/>
    <w:rsid w:val="00986A9A"/>
    <w:rsid w:val="009901B5"/>
    <w:rsid w:val="009A0BCC"/>
    <w:rsid w:val="009A2EFA"/>
    <w:rsid w:val="009A57C5"/>
    <w:rsid w:val="009A6CD4"/>
    <w:rsid w:val="009A6E66"/>
    <w:rsid w:val="009B0211"/>
    <w:rsid w:val="009B402A"/>
    <w:rsid w:val="009C16F8"/>
    <w:rsid w:val="009C1DE7"/>
    <w:rsid w:val="009C2C05"/>
    <w:rsid w:val="009C5625"/>
    <w:rsid w:val="009C5962"/>
    <w:rsid w:val="009D0999"/>
    <w:rsid w:val="009E679E"/>
    <w:rsid w:val="009F0698"/>
    <w:rsid w:val="00A05705"/>
    <w:rsid w:val="00A14643"/>
    <w:rsid w:val="00A16F03"/>
    <w:rsid w:val="00A20754"/>
    <w:rsid w:val="00A21136"/>
    <w:rsid w:val="00A2266D"/>
    <w:rsid w:val="00A3323A"/>
    <w:rsid w:val="00A46C66"/>
    <w:rsid w:val="00A46FAF"/>
    <w:rsid w:val="00A55990"/>
    <w:rsid w:val="00A5674A"/>
    <w:rsid w:val="00A623EF"/>
    <w:rsid w:val="00A64F91"/>
    <w:rsid w:val="00A735C5"/>
    <w:rsid w:val="00A7438D"/>
    <w:rsid w:val="00A74797"/>
    <w:rsid w:val="00A7601D"/>
    <w:rsid w:val="00A81984"/>
    <w:rsid w:val="00A82CDC"/>
    <w:rsid w:val="00A95E6B"/>
    <w:rsid w:val="00AA0F23"/>
    <w:rsid w:val="00AA3E2F"/>
    <w:rsid w:val="00AA46CA"/>
    <w:rsid w:val="00AA535B"/>
    <w:rsid w:val="00AB1591"/>
    <w:rsid w:val="00AB620A"/>
    <w:rsid w:val="00AC3273"/>
    <w:rsid w:val="00AC68C4"/>
    <w:rsid w:val="00AD310D"/>
    <w:rsid w:val="00AD3D4D"/>
    <w:rsid w:val="00AE4069"/>
    <w:rsid w:val="00AE7916"/>
    <w:rsid w:val="00AF09EA"/>
    <w:rsid w:val="00AF1D6D"/>
    <w:rsid w:val="00AF5632"/>
    <w:rsid w:val="00AF7089"/>
    <w:rsid w:val="00B04913"/>
    <w:rsid w:val="00B04B0A"/>
    <w:rsid w:val="00B2169A"/>
    <w:rsid w:val="00B2305A"/>
    <w:rsid w:val="00B31D4D"/>
    <w:rsid w:val="00B358A0"/>
    <w:rsid w:val="00B3616B"/>
    <w:rsid w:val="00B37633"/>
    <w:rsid w:val="00B518C9"/>
    <w:rsid w:val="00B52EAC"/>
    <w:rsid w:val="00B54969"/>
    <w:rsid w:val="00B66C27"/>
    <w:rsid w:val="00B80B9E"/>
    <w:rsid w:val="00B838DA"/>
    <w:rsid w:val="00B853DE"/>
    <w:rsid w:val="00B86E3A"/>
    <w:rsid w:val="00BA017F"/>
    <w:rsid w:val="00BD535F"/>
    <w:rsid w:val="00BE6E64"/>
    <w:rsid w:val="00BF31B7"/>
    <w:rsid w:val="00BF4F99"/>
    <w:rsid w:val="00C10048"/>
    <w:rsid w:val="00C1192D"/>
    <w:rsid w:val="00C25EA9"/>
    <w:rsid w:val="00C262EA"/>
    <w:rsid w:val="00C30E9B"/>
    <w:rsid w:val="00C424FC"/>
    <w:rsid w:val="00C51ECC"/>
    <w:rsid w:val="00C54CE4"/>
    <w:rsid w:val="00C600D9"/>
    <w:rsid w:val="00C67ADA"/>
    <w:rsid w:val="00C810E8"/>
    <w:rsid w:val="00C847C2"/>
    <w:rsid w:val="00C90BF7"/>
    <w:rsid w:val="00CA6613"/>
    <w:rsid w:val="00CB232D"/>
    <w:rsid w:val="00CC25D0"/>
    <w:rsid w:val="00CC69AD"/>
    <w:rsid w:val="00CD302B"/>
    <w:rsid w:val="00CD4F63"/>
    <w:rsid w:val="00CF1664"/>
    <w:rsid w:val="00CF5A8A"/>
    <w:rsid w:val="00D0124C"/>
    <w:rsid w:val="00D01278"/>
    <w:rsid w:val="00D04C1D"/>
    <w:rsid w:val="00D12AB1"/>
    <w:rsid w:val="00D210DE"/>
    <w:rsid w:val="00D23B36"/>
    <w:rsid w:val="00D27AEB"/>
    <w:rsid w:val="00D3037B"/>
    <w:rsid w:val="00D336EF"/>
    <w:rsid w:val="00D47DB2"/>
    <w:rsid w:val="00D53BAE"/>
    <w:rsid w:val="00D57DBA"/>
    <w:rsid w:val="00D57EBC"/>
    <w:rsid w:val="00D57F5F"/>
    <w:rsid w:val="00D64977"/>
    <w:rsid w:val="00D66472"/>
    <w:rsid w:val="00D71F76"/>
    <w:rsid w:val="00D77095"/>
    <w:rsid w:val="00D80573"/>
    <w:rsid w:val="00D94BB1"/>
    <w:rsid w:val="00D961C9"/>
    <w:rsid w:val="00D97B80"/>
    <w:rsid w:val="00DA1D73"/>
    <w:rsid w:val="00DB2761"/>
    <w:rsid w:val="00DB2FF6"/>
    <w:rsid w:val="00DD0E0C"/>
    <w:rsid w:val="00DD6D82"/>
    <w:rsid w:val="00DD7765"/>
    <w:rsid w:val="00DE522D"/>
    <w:rsid w:val="00E06974"/>
    <w:rsid w:val="00E23955"/>
    <w:rsid w:val="00E340CC"/>
    <w:rsid w:val="00E417DF"/>
    <w:rsid w:val="00E47327"/>
    <w:rsid w:val="00E66815"/>
    <w:rsid w:val="00E66A3F"/>
    <w:rsid w:val="00E7385D"/>
    <w:rsid w:val="00E86579"/>
    <w:rsid w:val="00E90A19"/>
    <w:rsid w:val="00E974F8"/>
    <w:rsid w:val="00EA2758"/>
    <w:rsid w:val="00EA38E5"/>
    <w:rsid w:val="00EA79DA"/>
    <w:rsid w:val="00EB0D8A"/>
    <w:rsid w:val="00EC1274"/>
    <w:rsid w:val="00EC3217"/>
    <w:rsid w:val="00EC636E"/>
    <w:rsid w:val="00EC7E55"/>
    <w:rsid w:val="00ED6F93"/>
    <w:rsid w:val="00EE7984"/>
    <w:rsid w:val="00EE7CB8"/>
    <w:rsid w:val="00EF16FB"/>
    <w:rsid w:val="00EF5F02"/>
    <w:rsid w:val="00F02216"/>
    <w:rsid w:val="00F0291C"/>
    <w:rsid w:val="00F1011A"/>
    <w:rsid w:val="00F101DD"/>
    <w:rsid w:val="00F14193"/>
    <w:rsid w:val="00F14D59"/>
    <w:rsid w:val="00F16405"/>
    <w:rsid w:val="00F1733A"/>
    <w:rsid w:val="00F20CCE"/>
    <w:rsid w:val="00F30D88"/>
    <w:rsid w:val="00F3614E"/>
    <w:rsid w:val="00F372D2"/>
    <w:rsid w:val="00F51D2D"/>
    <w:rsid w:val="00F56870"/>
    <w:rsid w:val="00F576E0"/>
    <w:rsid w:val="00F6440C"/>
    <w:rsid w:val="00F6561F"/>
    <w:rsid w:val="00F70DCD"/>
    <w:rsid w:val="00F73DCF"/>
    <w:rsid w:val="00F82C3B"/>
    <w:rsid w:val="00F87813"/>
    <w:rsid w:val="00F901CF"/>
    <w:rsid w:val="00F90205"/>
    <w:rsid w:val="00F906EF"/>
    <w:rsid w:val="00FA4A82"/>
    <w:rsid w:val="00FB1FA1"/>
    <w:rsid w:val="00FB33FD"/>
    <w:rsid w:val="00FB645E"/>
    <w:rsid w:val="00FB7CF3"/>
    <w:rsid w:val="00FC35ED"/>
    <w:rsid w:val="00FD6CD9"/>
    <w:rsid w:val="00FE20D9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DD3DF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561F"/>
    <w:pPr>
      <w:spacing w:after="240"/>
      <w:jc w:val="both"/>
    </w:pPr>
    <w:rPr>
      <w:sz w:val="24"/>
      <w:szCs w:val="24"/>
      <w:lang w:val="en-GB" w:bidi="ar-AE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  <w:rPr>
      <w:rFonts w:cs="Simplified Arabic"/>
    </w:rPr>
  </w:style>
  <w:style w:type="paragraph" w:styleId="Heading2">
    <w:name w:val="heading 2"/>
    <w:basedOn w:val="Normal"/>
    <w:next w:val="BodyText"/>
    <w:link w:val="Heading2Char"/>
    <w:qFormat/>
    <w:pPr>
      <w:outlineLvl w:val="1"/>
    </w:pPr>
    <w:rPr>
      <w:rFonts w:cs="Simplified Arabic"/>
    </w:rPr>
  </w:style>
  <w:style w:type="paragraph" w:styleId="Heading3">
    <w:name w:val="heading 3"/>
    <w:basedOn w:val="Heading2"/>
    <w:next w:val="BodyText"/>
    <w:link w:val="Heading3Char"/>
    <w:qFormat/>
    <w:pPr>
      <w:outlineLvl w:val="2"/>
    </w:pPr>
  </w:style>
  <w:style w:type="paragraph" w:styleId="Heading4">
    <w:name w:val="heading 4"/>
    <w:basedOn w:val="Normal"/>
    <w:next w:val="BodyText"/>
    <w:link w:val="Heading4Char"/>
    <w:qFormat/>
    <w:pPr>
      <w:outlineLvl w:val="3"/>
    </w:pPr>
    <w:rPr>
      <w:rFonts w:cs="Simplified Arabic"/>
    </w:rPr>
  </w:style>
  <w:style w:type="paragraph" w:styleId="Heading5">
    <w:name w:val="heading 5"/>
    <w:basedOn w:val="Normal"/>
    <w:next w:val="BodyText"/>
    <w:link w:val="Heading5Char"/>
    <w:qFormat/>
    <w:pPr>
      <w:outlineLvl w:val="4"/>
    </w:pPr>
    <w:rPr>
      <w:rFonts w:cs="Simplified Arabic"/>
    </w:rPr>
  </w:style>
  <w:style w:type="paragraph" w:styleId="Heading6">
    <w:name w:val="heading 6"/>
    <w:basedOn w:val="Normal"/>
    <w:next w:val="BodyText"/>
    <w:link w:val="Heading6Char"/>
    <w:qFormat/>
    <w:pPr>
      <w:outlineLvl w:val="5"/>
    </w:pPr>
    <w:rPr>
      <w:rFonts w:cs="Simplified Arabic"/>
    </w:rPr>
  </w:style>
  <w:style w:type="paragraph" w:styleId="Heading7">
    <w:name w:val="heading 7"/>
    <w:basedOn w:val="Normal"/>
    <w:next w:val="BodyText"/>
    <w:link w:val="Heading7Char"/>
    <w:qFormat/>
    <w:pPr>
      <w:outlineLvl w:val="6"/>
    </w:pPr>
    <w:rPr>
      <w:rFonts w:cs="Simplified Arabic"/>
    </w:rPr>
  </w:style>
  <w:style w:type="paragraph" w:styleId="Heading8">
    <w:name w:val="heading 8"/>
    <w:basedOn w:val="Normal"/>
    <w:next w:val="BodyText"/>
    <w:link w:val="Heading8Char"/>
    <w:qFormat/>
    <w:pPr>
      <w:outlineLvl w:val="7"/>
    </w:pPr>
    <w:rPr>
      <w:rFonts w:cs="Simplified Arabic"/>
    </w:rPr>
  </w:style>
  <w:style w:type="paragraph" w:styleId="Heading9">
    <w:name w:val="heading 9"/>
    <w:basedOn w:val="Normal"/>
    <w:next w:val="BodyText"/>
    <w:link w:val="Heading9Char"/>
    <w:qFormat/>
    <w:pPr>
      <w:outlineLvl w:val="8"/>
    </w:pPr>
    <w:rPr>
      <w:rFonts w:cs="Simplified Arab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MacroTextChar">
    <w:name w:val="Macro Text Char"/>
    <w:link w:val="MacroText"/>
    <w:rPr>
      <w:rFonts w:ascii="Courier New" w:hAnsi="Courier New" w:cs="Courier New"/>
      <w:lang w:val="en-GB" w:eastAsia="zh-CN" w:bidi="ar-AE"/>
    </w:rPr>
  </w:style>
  <w:style w:type="character" w:customStyle="1" w:styleId="Heading1Char">
    <w:name w:val="Heading 1 Char"/>
    <w:link w:val="Heading1"/>
    <w:rPr>
      <w:sz w:val="24"/>
      <w:szCs w:val="24"/>
      <w:lang w:bidi="ar-AE"/>
    </w:rPr>
  </w:style>
  <w:style w:type="character" w:customStyle="1" w:styleId="Heading2Char">
    <w:name w:val="Heading 2 Char"/>
    <w:link w:val="Heading2"/>
    <w:rPr>
      <w:sz w:val="24"/>
      <w:szCs w:val="24"/>
      <w:lang w:bidi="ar-AE"/>
    </w:rPr>
  </w:style>
  <w:style w:type="paragraph" w:styleId="BodyText">
    <w:name w:val="Body Text"/>
    <w:basedOn w:val="Normal"/>
    <w:link w:val="BodyTextChar"/>
    <w:rPr>
      <w:rFonts w:cs="Simplified Arabic"/>
      <w:lang w:eastAsia="en-GB"/>
    </w:rPr>
  </w:style>
  <w:style w:type="character" w:customStyle="1" w:styleId="BodyTextChar">
    <w:name w:val="Body Text Char"/>
    <w:link w:val="BodyText"/>
    <w:rPr>
      <w:sz w:val="24"/>
      <w:szCs w:val="24"/>
      <w:lang w:eastAsia="en-GB" w:bidi="ar-AE"/>
    </w:rPr>
  </w:style>
  <w:style w:type="character" w:customStyle="1" w:styleId="Heading3Char">
    <w:name w:val="Heading 3 Char"/>
    <w:link w:val="Heading3"/>
    <w:rPr>
      <w:sz w:val="24"/>
      <w:szCs w:val="24"/>
      <w:lang w:bidi="ar-AE"/>
    </w:rPr>
  </w:style>
  <w:style w:type="character" w:customStyle="1" w:styleId="Heading4Char">
    <w:name w:val="Heading 4 Char"/>
    <w:link w:val="Heading4"/>
    <w:rPr>
      <w:sz w:val="24"/>
      <w:szCs w:val="24"/>
      <w:lang w:bidi="ar-AE"/>
    </w:rPr>
  </w:style>
  <w:style w:type="character" w:customStyle="1" w:styleId="Heading5Char">
    <w:name w:val="Heading 5 Char"/>
    <w:link w:val="Heading5"/>
    <w:rPr>
      <w:sz w:val="24"/>
      <w:szCs w:val="24"/>
      <w:lang w:bidi="ar-AE"/>
    </w:rPr>
  </w:style>
  <w:style w:type="character" w:customStyle="1" w:styleId="Heading6Char">
    <w:name w:val="Heading 6 Char"/>
    <w:link w:val="Heading6"/>
    <w:rPr>
      <w:sz w:val="24"/>
      <w:szCs w:val="24"/>
      <w:lang w:bidi="ar-AE"/>
    </w:rPr>
  </w:style>
  <w:style w:type="character" w:customStyle="1" w:styleId="Heading7Char">
    <w:name w:val="Heading 7 Char"/>
    <w:link w:val="Heading7"/>
    <w:rPr>
      <w:sz w:val="24"/>
      <w:szCs w:val="24"/>
      <w:lang w:bidi="ar-AE"/>
    </w:rPr>
  </w:style>
  <w:style w:type="character" w:customStyle="1" w:styleId="Heading8Char">
    <w:name w:val="Heading 8 Char"/>
    <w:link w:val="Heading8"/>
    <w:rPr>
      <w:sz w:val="24"/>
      <w:szCs w:val="24"/>
      <w:lang w:bidi="ar-AE"/>
    </w:rPr>
  </w:style>
  <w:style w:type="character" w:customStyle="1" w:styleId="Heading9Char">
    <w:name w:val="Heading 9 Char"/>
    <w:link w:val="Heading9"/>
    <w:rPr>
      <w:sz w:val="24"/>
      <w:szCs w:val="24"/>
      <w:lang w:bidi="ar-AE"/>
    </w:rPr>
  </w:style>
  <w:style w:type="paragraph" w:styleId="List3">
    <w:name w:val="List 3"/>
    <w:basedOn w:val="Normal"/>
    <w:pPr>
      <w:ind w:left="1080" w:hanging="360"/>
      <w:contextualSpacing/>
    </w:pPr>
  </w:style>
  <w:style w:type="paragraph" w:styleId="TOC7">
    <w:name w:val="toc 7"/>
    <w:basedOn w:val="Normal"/>
    <w:next w:val="Normal"/>
    <w:pPr>
      <w:ind w:left="1440"/>
    </w:pPr>
  </w:style>
  <w:style w:type="paragraph" w:styleId="TableofAuthorities">
    <w:name w:val="table of authorities"/>
    <w:basedOn w:val="Normal"/>
    <w:next w:val="Normal"/>
    <w:pPr>
      <w:ind w:left="240" w:hanging="240"/>
    </w:pPr>
  </w:style>
  <w:style w:type="paragraph" w:styleId="NoteHeading">
    <w:name w:val="Note Heading"/>
    <w:basedOn w:val="Normal"/>
    <w:next w:val="Normal"/>
    <w:link w:val="NoteHeadingChar"/>
    <w:rPr>
      <w:rFonts w:cs="Simplified Arabic"/>
    </w:rPr>
  </w:style>
  <w:style w:type="character" w:customStyle="1" w:styleId="NoteHeadingChar">
    <w:name w:val="Note Heading Char"/>
    <w:link w:val="NoteHeading"/>
    <w:rPr>
      <w:sz w:val="24"/>
      <w:szCs w:val="24"/>
      <w:lang w:bidi="ar-AE"/>
    </w:rPr>
  </w:style>
  <w:style w:type="paragraph" w:styleId="Index8">
    <w:name w:val="index 8"/>
    <w:basedOn w:val="Normal"/>
    <w:next w:val="Normal"/>
    <w:pPr>
      <w:ind w:left="1920" w:hanging="240"/>
    </w:pPr>
  </w:style>
  <w:style w:type="paragraph" w:styleId="E-mailSignature">
    <w:name w:val="E-mail Signature"/>
    <w:basedOn w:val="Normal"/>
    <w:link w:val="E-mailSignatureChar"/>
    <w:rPr>
      <w:rFonts w:cs="Simplified Arabic"/>
    </w:rPr>
  </w:style>
  <w:style w:type="character" w:customStyle="1" w:styleId="E-mailSignatureChar">
    <w:name w:val="E-mail Signature Char"/>
    <w:link w:val="E-mailSignature"/>
    <w:rPr>
      <w:sz w:val="24"/>
      <w:szCs w:val="24"/>
      <w:lang w:bidi="ar-AE"/>
    </w:rPr>
  </w:style>
  <w:style w:type="paragraph" w:styleId="NormalIndent">
    <w:name w:val="Normal Indent"/>
    <w:basedOn w:val="Normal"/>
    <w:pPr>
      <w:ind w:left="720"/>
    </w:pPr>
  </w:style>
  <w:style w:type="paragraph" w:styleId="Caption">
    <w:name w:val="caption"/>
    <w:basedOn w:val="Normal"/>
    <w:next w:val="Normal"/>
    <w:qFormat/>
    <w:rPr>
      <w:b/>
      <w:bCs/>
      <w:sz w:val="20"/>
      <w:szCs w:val="20"/>
    </w:rPr>
  </w:style>
  <w:style w:type="paragraph" w:styleId="Index5">
    <w:name w:val="index 5"/>
    <w:basedOn w:val="Normal"/>
    <w:next w:val="Normal"/>
    <w:pPr>
      <w:ind w:left="1200" w:hanging="240"/>
    </w:p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DocumentMap">
    <w:name w:val="Document Map"/>
    <w:basedOn w:val="Normal"/>
    <w:link w:val="DocumentMapChar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Pr>
      <w:rFonts w:ascii="Tahoma" w:hAnsi="Tahoma" w:cs="Tahoma"/>
      <w:sz w:val="16"/>
      <w:szCs w:val="16"/>
      <w:lang w:bidi="ar-AE"/>
    </w:rPr>
  </w:style>
  <w:style w:type="paragraph" w:styleId="TOAHeading">
    <w:name w:val="toa heading"/>
    <w:basedOn w:val="Normal"/>
    <w:next w:val="Normal"/>
    <w:pPr>
      <w:spacing w:before="120"/>
    </w:pPr>
    <w:rPr>
      <w:rFonts w:cs="Simplified Arabic"/>
      <w:b/>
      <w:bCs/>
    </w:rPr>
  </w:style>
  <w:style w:type="paragraph" w:styleId="CommentText">
    <w:name w:val="annotation text"/>
    <w:basedOn w:val="Normal"/>
    <w:link w:val="CommentTextChar"/>
    <w:pPr>
      <w:spacing w:after="120"/>
    </w:pPr>
    <w:rPr>
      <w:rFonts w:cs="Simplified Arabic"/>
      <w:sz w:val="20"/>
      <w:szCs w:val="20"/>
    </w:rPr>
  </w:style>
  <w:style w:type="character" w:customStyle="1" w:styleId="CommentTextChar">
    <w:name w:val="Comment Text Char"/>
    <w:link w:val="CommentText"/>
    <w:rPr>
      <w:lang w:bidi="ar-AE"/>
    </w:rPr>
  </w:style>
  <w:style w:type="paragraph" w:styleId="Index6">
    <w:name w:val="index 6"/>
    <w:basedOn w:val="Normal"/>
    <w:next w:val="Normal"/>
    <w:pPr>
      <w:ind w:left="1440" w:hanging="240"/>
    </w:pPr>
  </w:style>
  <w:style w:type="paragraph" w:styleId="Salutation">
    <w:name w:val="Salutation"/>
    <w:basedOn w:val="Normal"/>
    <w:next w:val="Normal"/>
    <w:link w:val="SalutationChar"/>
    <w:rPr>
      <w:rFonts w:cs="Simplified Arabic"/>
    </w:rPr>
  </w:style>
  <w:style w:type="character" w:customStyle="1" w:styleId="SalutationChar">
    <w:name w:val="Salutation Char"/>
    <w:link w:val="Salutation"/>
    <w:rPr>
      <w:sz w:val="24"/>
      <w:szCs w:val="24"/>
      <w:lang w:bidi="ar-AE"/>
    </w:rPr>
  </w:style>
  <w:style w:type="paragraph" w:styleId="BodyText3">
    <w:name w:val="Body Text 3"/>
    <w:basedOn w:val="Normal"/>
    <w:link w:val="BodyText3Char"/>
    <w:pPr>
      <w:ind w:left="2160"/>
    </w:pPr>
    <w:rPr>
      <w:rFonts w:cs="Simplified Arabic"/>
      <w:lang w:eastAsia="en-GB"/>
    </w:rPr>
  </w:style>
  <w:style w:type="character" w:customStyle="1" w:styleId="BodyText3Char">
    <w:name w:val="Body Text 3 Char"/>
    <w:link w:val="BodyText3"/>
    <w:rPr>
      <w:sz w:val="24"/>
      <w:szCs w:val="24"/>
      <w:lang w:eastAsia="en-GB" w:bidi="ar-AE"/>
    </w:rPr>
  </w:style>
  <w:style w:type="paragraph" w:styleId="Closing">
    <w:name w:val="Closing"/>
    <w:basedOn w:val="Normal"/>
    <w:link w:val="ClosingChar"/>
    <w:pPr>
      <w:ind w:left="4320"/>
    </w:pPr>
    <w:rPr>
      <w:rFonts w:cs="Simplified Arabic"/>
    </w:rPr>
  </w:style>
  <w:style w:type="character" w:customStyle="1" w:styleId="ClosingChar">
    <w:name w:val="Closing Char"/>
    <w:link w:val="Closing"/>
    <w:rPr>
      <w:sz w:val="24"/>
      <w:szCs w:val="24"/>
      <w:lang w:bidi="ar-AE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  <w:rPr>
      <w:rFonts w:cs="Simplified Arabic"/>
    </w:rPr>
  </w:style>
  <w:style w:type="character" w:customStyle="1" w:styleId="BodyTextIndentChar">
    <w:name w:val="Body Text Indent Char"/>
    <w:link w:val="BodyTextIndent"/>
    <w:rPr>
      <w:sz w:val="24"/>
      <w:szCs w:val="24"/>
      <w:lang w:bidi="ar-AE"/>
    </w:rPr>
  </w:style>
  <w:style w:type="paragraph" w:styleId="List2">
    <w:name w:val="List 2"/>
    <w:basedOn w:val="Normal"/>
    <w:pPr>
      <w:ind w:left="720" w:hanging="360"/>
      <w:contextualSpacing/>
    </w:pPr>
  </w:style>
  <w:style w:type="paragraph" w:styleId="ListContinue">
    <w:name w:val="List Continue"/>
    <w:basedOn w:val="Normal"/>
    <w:pPr>
      <w:spacing w:after="120"/>
      <w:ind w:left="360"/>
      <w:contextualSpacing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HTMLAddress">
    <w:name w:val="HTML Address"/>
    <w:basedOn w:val="Normal"/>
    <w:link w:val="HTMLAddressChar"/>
    <w:rPr>
      <w:rFonts w:cs="Simplified Arabic"/>
      <w:i/>
      <w:iCs/>
    </w:rPr>
  </w:style>
  <w:style w:type="character" w:customStyle="1" w:styleId="HTMLAddressChar">
    <w:name w:val="HTML Address Char"/>
    <w:link w:val="HTMLAddress"/>
    <w:rPr>
      <w:i/>
      <w:iCs/>
      <w:sz w:val="24"/>
      <w:szCs w:val="24"/>
      <w:lang w:bidi="ar-AE"/>
    </w:rPr>
  </w:style>
  <w:style w:type="paragraph" w:styleId="Index4">
    <w:name w:val="index 4"/>
    <w:basedOn w:val="Normal"/>
    <w:next w:val="Normal"/>
    <w:pPr>
      <w:ind w:left="960" w:hanging="240"/>
    </w:pPr>
  </w:style>
  <w:style w:type="paragraph" w:styleId="TOC5">
    <w:name w:val="toc 5"/>
    <w:basedOn w:val="Normal"/>
    <w:next w:val="Normal"/>
    <w:pPr>
      <w:ind w:left="960"/>
    </w:pPr>
  </w:style>
  <w:style w:type="paragraph" w:styleId="TOC3">
    <w:name w:val="toc 3"/>
    <w:basedOn w:val="Normal"/>
    <w:next w:val="Normal"/>
    <w:pPr>
      <w:ind w:left="480"/>
    </w:pPr>
  </w:style>
  <w:style w:type="paragraph" w:styleId="PlainText">
    <w:name w:val="Plain Text"/>
    <w:basedOn w:val="Normal"/>
    <w:link w:val="PlainTextChar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Pr>
      <w:rFonts w:ascii="Courier New" w:hAnsi="Courier New" w:cs="Courier New"/>
      <w:lang w:bidi="ar-AE"/>
    </w:rPr>
  </w:style>
  <w:style w:type="paragraph" w:styleId="TOC8">
    <w:name w:val="toc 8"/>
    <w:basedOn w:val="Normal"/>
    <w:next w:val="Normal"/>
    <w:pPr>
      <w:ind w:left="1680"/>
    </w:pPr>
  </w:style>
  <w:style w:type="paragraph" w:styleId="Index3">
    <w:name w:val="index 3"/>
    <w:basedOn w:val="Normal"/>
    <w:next w:val="Normal"/>
    <w:pPr>
      <w:ind w:left="720" w:hanging="240"/>
    </w:pPr>
  </w:style>
  <w:style w:type="paragraph" w:styleId="Date">
    <w:name w:val="Date"/>
    <w:basedOn w:val="Normal"/>
    <w:next w:val="Normal"/>
    <w:link w:val="DateChar"/>
    <w:rPr>
      <w:rFonts w:cs="Simplified Arabic"/>
    </w:rPr>
  </w:style>
  <w:style w:type="character" w:customStyle="1" w:styleId="DateChar">
    <w:name w:val="Date Char"/>
    <w:link w:val="Date"/>
    <w:rPr>
      <w:sz w:val="24"/>
      <w:szCs w:val="24"/>
      <w:lang w:bidi="ar-AE"/>
    </w:rPr>
  </w:style>
  <w:style w:type="paragraph" w:styleId="BodyTextIndent2">
    <w:name w:val="Body Text Indent 2"/>
    <w:basedOn w:val="Normal"/>
    <w:link w:val="BodyTextIndent2Char"/>
    <w:pPr>
      <w:spacing w:after="120"/>
      <w:ind w:left="360"/>
    </w:pPr>
    <w:rPr>
      <w:rFonts w:cs="Simplified Arabic"/>
    </w:rPr>
  </w:style>
  <w:style w:type="character" w:customStyle="1" w:styleId="BodyTextIndent2Char">
    <w:name w:val="Body Text Indent 2 Char"/>
    <w:link w:val="BodyTextIndent2"/>
    <w:rPr>
      <w:sz w:val="24"/>
      <w:szCs w:val="24"/>
      <w:lang w:bidi="ar-AE"/>
    </w:rPr>
  </w:style>
  <w:style w:type="paragraph" w:styleId="EndnoteText">
    <w:name w:val="endnote text"/>
    <w:basedOn w:val="Normal"/>
    <w:next w:val="Normal"/>
    <w:link w:val="End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EndnoteTextChar">
    <w:name w:val="Endnote Text Char"/>
    <w:link w:val="EndnoteText"/>
    <w:rPr>
      <w:lang w:bidi="ar-AE"/>
    </w:rPr>
  </w:style>
  <w:style w:type="paragraph" w:styleId="ListContinue5">
    <w:name w:val="List Continue 5"/>
    <w:basedOn w:val="Normal"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  <w:lang w:bidi="ar-AE"/>
    </w:rPr>
  </w:style>
  <w:style w:type="paragraph" w:styleId="Footer">
    <w:name w:val="footer"/>
    <w:link w:val="FooterChar"/>
    <w:rPr>
      <w:sz w:val="16"/>
      <w:szCs w:val="16"/>
      <w:lang w:val="en-GB" w:bidi="he-IL"/>
    </w:rPr>
  </w:style>
  <w:style w:type="character" w:customStyle="1" w:styleId="FooterChar">
    <w:name w:val="Footer Char"/>
    <w:link w:val="Footer"/>
    <w:rPr>
      <w:sz w:val="16"/>
      <w:szCs w:val="16"/>
      <w:lang w:val="en-GB" w:eastAsia="zh-CN" w:bidi="he-IL"/>
    </w:rPr>
  </w:style>
  <w:style w:type="paragraph" w:styleId="EnvelopeReturn">
    <w:name w:val="envelope return"/>
    <w:basedOn w:val="Normal"/>
    <w:rPr>
      <w:rFonts w:cs="Simplified Arabic"/>
      <w:sz w:val="20"/>
      <w:szCs w:val="20"/>
    </w:rPr>
  </w:style>
  <w:style w:type="paragraph" w:styleId="Header">
    <w:name w:val="header"/>
    <w:link w:val="HeaderChar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HeaderChar">
    <w:name w:val="Header Char"/>
    <w:link w:val="Header"/>
    <w:uiPriority w:val="99"/>
    <w:rPr>
      <w:sz w:val="24"/>
      <w:szCs w:val="24"/>
      <w:lang w:val="en-GB" w:eastAsia="zh-CN" w:bidi="he-IL"/>
    </w:rPr>
  </w:style>
  <w:style w:type="paragraph" w:styleId="Signature">
    <w:name w:val="Signature"/>
    <w:basedOn w:val="Normal"/>
    <w:link w:val="SignatureChar"/>
    <w:pPr>
      <w:ind w:left="4320"/>
    </w:pPr>
    <w:rPr>
      <w:rFonts w:cs="Simplified Arabic"/>
    </w:rPr>
  </w:style>
  <w:style w:type="character" w:customStyle="1" w:styleId="SignatureChar">
    <w:name w:val="Signature Char"/>
    <w:link w:val="Signature"/>
    <w:rPr>
      <w:sz w:val="24"/>
      <w:szCs w:val="24"/>
      <w:lang w:bidi="ar-AE"/>
    </w:rPr>
  </w:style>
  <w:style w:type="paragraph" w:styleId="TOC1">
    <w:name w:val="toc 1"/>
    <w:basedOn w:val="Normal"/>
    <w:next w:val="BodyText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ListContinue4">
    <w:name w:val="List Continue 4"/>
    <w:basedOn w:val="Normal"/>
    <w:pPr>
      <w:spacing w:after="120"/>
      <w:ind w:left="1440"/>
      <w:contextualSpacing/>
    </w:pPr>
  </w:style>
  <w:style w:type="paragraph" w:styleId="TOC4">
    <w:name w:val="toc 4"/>
    <w:basedOn w:val="Normal"/>
    <w:next w:val="Normal"/>
    <w:pPr>
      <w:ind w:left="720"/>
    </w:pPr>
  </w:style>
  <w:style w:type="paragraph" w:styleId="IndexHeading">
    <w:name w:val="index heading"/>
    <w:basedOn w:val="Normal"/>
    <w:next w:val="Normal"/>
    <w:rPr>
      <w:b/>
      <w:bCs/>
    </w:rPr>
  </w:style>
  <w:style w:type="paragraph" w:styleId="Subtitle">
    <w:name w:val="Subtitle"/>
    <w:basedOn w:val="Normal"/>
    <w:next w:val="BodyText"/>
    <w:link w:val="SubtitleChar"/>
    <w:qFormat/>
    <w:pPr>
      <w:jc w:val="center"/>
    </w:pPr>
    <w:rPr>
      <w:rFonts w:cs="Simplified Arabic"/>
    </w:rPr>
  </w:style>
  <w:style w:type="character" w:customStyle="1" w:styleId="SubtitleChar">
    <w:name w:val="Subtitle Char"/>
    <w:link w:val="Subtitle"/>
    <w:rPr>
      <w:sz w:val="24"/>
      <w:szCs w:val="24"/>
      <w:lang w:bidi="ar-AE"/>
    </w:rPr>
  </w:style>
  <w:style w:type="paragraph" w:styleId="List">
    <w:name w:val="List"/>
    <w:basedOn w:val="Normal"/>
    <w:pPr>
      <w:ind w:left="360" w:hanging="360"/>
      <w:contextualSpacing/>
    </w:pPr>
  </w:style>
  <w:style w:type="paragraph" w:styleId="FootnoteText">
    <w:name w:val="footnote text"/>
    <w:basedOn w:val="Normal"/>
    <w:next w:val="Normal"/>
    <w:link w:val="Foot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FootnoteTextChar">
    <w:name w:val="Footnote Text Char"/>
    <w:link w:val="FootnoteText"/>
    <w:rPr>
      <w:lang w:bidi="ar-AE"/>
    </w:rPr>
  </w:style>
  <w:style w:type="paragraph" w:styleId="TOC6">
    <w:name w:val="toc 6"/>
    <w:basedOn w:val="Normal"/>
    <w:next w:val="Normal"/>
    <w:pPr>
      <w:ind w:left="1200"/>
    </w:pPr>
  </w:style>
  <w:style w:type="paragraph" w:styleId="List5">
    <w:name w:val="List 5"/>
    <w:basedOn w:val="Normal"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BodyTextIndent3Char">
    <w:name w:val="Body Text Indent 3 Char"/>
    <w:link w:val="BodyTextIndent3"/>
    <w:rPr>
      <w:sz w:val="16"/>
      <w:szCs w:val="16"/>
      <w:lang w:bidi="ar-AE"/>
    </w:rPr>
  </w:style>
  <w:style w:type="paragraph" w:styleId="Index7">
    <w:name w:val="index 7"/>
    <w:basedOn w:val="Normal"/>
    <w:next w:val="Normal"/>
    <w:pPr>
      <w:ind w:left="1680" w:hanging="240"/>
    </w:pPr>
  </w:style>
  <w:style w:type="paragraph" w:styleId="Index9">
    <w:name w:val="index 9"/>
    <w:basedOn w:val="Normal"/>
    <w:next w:val="Normal"/>
    <w:pPr>
      <w:ind w:left="2160" w:hanging="240"/>
    </w:pPr>
  </w:style>
  <w:style w:type="paragraph" w:styleId="TableofFigures">
    <w:name w:val="table of figures"/>
    <w:basedOn w:val="Normal"/>
    <w:next w:val="Normal"/>
  </w:style>
  <w:style w:type="paragraph" w:styleId="TOC2">
    <w:name w:val="toc 2"/>
    <w:basedOn w:val="Normal"/>
    <w:next w:val="BodyText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Normal"/>
    <w:next w:val="Normal"/>
    <w:pPr>
      <w:ind w:left="1920"/>
    </w:pPr>
  </w:style>
  <w:style w:type="paragraph" w:styleId="BodyText2">
    <w:name w:val="Body Text 2"/>
    <w:basedOn w:val="Normal"/>
    <w:link w:val="BodyText2Char"/>
    <w:pPr>
      <w:ind w:left="1440"/>
    </w:pPr>
    <w:rPr>
      <w:rFonts w:cs="Simplified Arabic"/>
      <w:lang w:eastAsia="en-GB"/>
    </w:rPr>
  </w:style>
  <w:style w:type="character" w:customStyle="1" w:styleId="BodyText2Char">
    <w:name w:val="Body Text 2 Char"/>
    <w:link w:val="BodyText2"/>
    <w:rPr>
      <w:sz w:val="24"/>
      <w:szCs w:val="24"/>
      <w:lang w:eastAsia="en-GB" w:bidi="ar-AE"/>
    </w:rPr>
  </w:style>
  <w:style w:type="paragraph" w:styleId="List4">
    <w:name w:val="List 4"/>
    <w:basedOn w:val="Normal"/>
    <w:pPr>
      <w:ind w:left="1440" w:hanging="360"/>
      <w:contextualSpacing/>
    </w:pPr>
  </w:style>
  <w:style w:type="paragraph" w:styleId="ListContinue2">
    <w:name w:val="List Continue 2"/>
    <w:basedOn w:val="Normal"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MessageHeaderChar">
    <w:name w:val="Message Header Char"/>
    <w:link w:val="MessageHeader"/>
    <w:rPr>
      <w:rFonts w:ascii="Times New Roman" w:eastAsia="SimSun" w:hAnsi="Times New Roman" w:cs="Simplified Arabic"/>
      <w:sz w:val="24"/>
      <w:szCs w:val="24"/>
      <w:shd w:val="pct20" w:color="auto" w:fill="auto"/>
      <w:lang w:bidi="ar-AE"/>
    </w:rPr>
  </w:style>
  <w:style w:type="paragraph" w:styleId="HTMLPreformatted">
    <w:name w:val="HTML Preformatted"/>
    <w:basedOn w:val="Normal"/>
    <w:link w:val="HTMLPreformattedChar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Pr>
      <w:rFonts w:ascii="Courier New" w:hAnsi="Courier New" w:cs="Courier New"/>
      <w:lang w:bidi="ar-AE"/>
    </w:rPr>
  </w:style>
  <w:style w:type="paragraph" w:styleId="NormalWeb">
    <w:name w:val="Normal (Web)"/>
    <w:basedOn w:val="Normal"/>
  </w:style>
  <w:style w:type="paragraph" w:styleId="ListContinue3">
    <w:name w:val="List Continue 3"/>
    <w:basedOn w:val="Normal"/>
    <w:pPr>
      <w:spacing w:after="120"/>
      <w:ind w:left="1080"/>
      <w:contextualSpacing/>
    </w:pPr>
  </w:style>
  <w:style w:type="paragraph" w:styleId="Index1">
    <w:name w:val="index 1"/>
    <w:basedOn w:val="Normal"/>
    <w:next w:val="Normal"/>
    <w:pPr>
      <w:ind w:left="240" w:hanging="240"/>
    </w:pPr>
  </w:style>
  <w:style w:type="paragraph" w:styleId="Index2">
    <w:name w:val="index 2"/>
    <w:basedOn w:val="Normal"/>
    <w:next w:val="Normal"/>
    <w:pPr>
      <w:ind w:left="480" w:hanging="240"/>
    </w:pPr>
  </w:style>
  <w:style w:type="paragraph" w:styleId="Title">
    <w:name w:val="Title"/>
    <w:basedOn w:val="Normal"/>
    <w:next w:val="BodyText"/>
    <w:link w:val="TitleChar"/>
    <w:qFormat/>
    <w:pPr>
      <w:jc w:val="center"/>
    </w:pPr>
    <w:rPr>
      <w:rFonts w:cs="Simplified Arabic"/>
      <w:b/>
      <w:bCs/>
    </w:rPr>
  </w:style>
  <w:style w:type="character" w:customStyle="1" w:styleId="TitleChar">
    <w:name w:val="Title Char"/>
    <w:link w:val="Title"/>
    <w:rPr>
      <w:b/>
      <w:bCs/>
      <w:sz w:val="24"/>
      <w:szCs w:val="24"/>
      <w:lang w:bidi="ar-AE"/>
    </w:rPr>
  </w:style>
  <w:style w:type="paragraph" w:styleId="CommentSubject">
    <w:name w:val="annotation subject"/>
    <w:basedOn w:val="CommentText"/>
    <w:next w:val="CommentText"/>
    <w:link w:val="CommentSubjectChar"/>
    <w:pPr>
      <w:spacing w:after="240"/>
    </w:pPr>
    <w:rPr>
      <w:b/>
      <w:bCs/>
    </w:rPr>
  </w:style>
  <w:style w:type="character" w:customStyle="1" w:styleId="CommentSubjectChar">
    <w:name w:val="Comment Subject Char"/>
    <w:link w:val="CommentSubject"/>
    <w:rPr>
      <w:b/>
      <w:bCs/>
      <w:lang w:bidi="ar-AE"/>
    </w:rPr>
  </w:style>
  <w:style w:type="paragraph" w:styleId="BodyTextFirstIndent">
    <w:name w:val="Body Text First Indent"/>
    <w:basedOn w:val="BodyText"/>
    <w:link w:val="BodyTextFirstIndentChar"/>
    <w:pPr>
      <w:ind w:firstLine="720"/>
    </w:pPr>
  </w:style>
  <w:style w:type="character" w:customStyle="1" w:styleId="BodyTextFirstIndentChar">
    <w:name w:val="Body Text First Indent Char"/>
    <w:link w:val="BodyTextFirstIndent"/>
    <w:rPr>
      <w:sz w:val="24"/>
      <w:szCs w:val="24"/>
      <w:lang w:eastAsia="en-GB" w:bidi="ar-AE"/>
    </w:rPr>
  </w:style>
  <w:style w:type="paragraph" w:styleId="BodyTextFirstIndent2">
    <w:name w:val="Body Text First Indent 2"/>
    <w:basedOn w:val="BodyTextFirstIndent"/>
    <w:link w:val="BodyTextFirstIndent2Char"/>
    <w:pPr>
      <w:ind w:firstLine="1440"/>
    </w:pPr>
  </w:style>
  <w:style w:type="character" w:customStyle="1" w:styleId="BodyTextFirstIndent2Char">
    <w:name w:val="Body Text First Indent 2 Char"/>
    <w:link w:val="BodyTextFirstIndent2"/>
    <w:rPr>
      <w:sz w:val="24"/>
      <w:szCs w:val="24"/>
      <w:lang w:eastAsia="en-GB" w:bidi="ar-AE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Theme">
    <w:name w:val="Table Theme"/>
    <w:basedOn w:val="TableNormal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2">
    <w:name w:val="Table Colorful 2"/>
    <w:basedOn w:val="TableNormal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3">
    <w:name w:val="Table Colorful 3"/>
    <w:basedOn w:val="TableNormal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1">
    <w:name w:val="Table Classic 1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2">
    <w:name w:val="Table Classic 2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3">
    <w:name w:val="Table Classic 3"/>
    <w:basedOn w:val="TableNormal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4">
    <w:name w:val="Table Classic 4"/>
    <w:basedOn w:val="TableNormal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1">
    <w:name w:val="Table Simple 1"/>
    <w:basedOn w:val="TableNormal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2">
    <w:name w:val="Table Simple 2"/>
    <w:basedOn w:val="TableNormal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ubtle2">
    <w:name w:val="Table Subtle 2"/>
    <w:basedOn w:val="TableNormal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1">
    <w:name w:val="Table List 1"/>
    <w:basedOn w:val="TableNormal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2">
    <w:name w:val="Table List 2"/>
    <w:basedOn w:val="TableNormal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3">
    <w:name w:val="Table List 3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4">
    <w:name w:val="Table List 4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6">
    <w:name w:val="Table List 6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3">
    <w:name w:val="Table Columns 3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4">
    <w:name w:val="Table Columns 4"/>
    <w:basedOn w:val="TableNormal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3">
    <w:name w:val="Table Grid 3"/>
    <w:basedOn w:val="TableNormal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5">
    <w:name w:val="Table Grid 5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1">
    <w:name w:val="Table Web 1"/>
    <w:basedOn w:val="TableNormal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2">
    <w:name w:val="Table Web 2"/>
    <w:basedOn w:val="TableNormal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3">
    <w:name w:val="Table Web 3"/>
    <w:basedOn w:val="TableNormal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LightShading-Accent2">
    <w:name w:val="Light Shading Accent 2"/>
    <w:basedOn w:val="TableNormal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3">
    <w:name w:val="Light Shading Accent 3"/>
    <w:basedOn w:val="TableNormal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4">
    <w:name w:val="Light Shading Accent 4"/>
    <w:basedOn w:val="TableNormal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5">
    <w:name w:val="Light Shading Accent 5"/>
    <w:basedOn w:val="TableNormal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LightShading-Accent6">
    <w:name w:val="Light Shading Accent 6"/>
    <w:basedOn w:val="TableNormal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LightList-Accent2">
    <w:name w:val="Light List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LightList-Accent3">
    <w:name w:val="Light List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LightList-Accent4">
    <w:name w:val="Light List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LightList-Accent5">
    <w:name w:val="Light List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LightList-Accent6">
    <w:name w:val="Light List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LightGrid-Accent2">
    <w:name w:val="Light Grid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LightGrid-Accent3">
    <w:name w:val="Light Grid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LightGrid-Accent4">
    <w:name w:val="Light Grid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LightGrid-Accent5">
    <w:name w:val="Light Grid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LightGrid-Accent6">
    <w:name w:val="Light Grid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MediumShading1-Accent2">
    <w:name w:val="Medium Shading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Shading1-Accent3">
    <w:name w:val="Medium Shading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Shading1-Accent4">
    <w:name w:val="Medium Shading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Shading1-Accent5">
    <w:name w:val="Medium Shading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Shading1-Accent6">
    <w:name w:val="Medium Shading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Shading2-Accent2">
    <w:name w:val="Medium Shading 2 Accent 2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3">
    <w:name w:val="Medium Shading 2 Accent 3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4">
    <w:name w:val="Medium Shading 2 Accent 4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5">
    <w:name w:val="Medium Shading 2 Accent 5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6">
    <w:name w:val="Medium Shading 2 Accent 6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List1-Accent2">
    <w:name w:val="Medium List 1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-Accent1">
    <w:name w:val="Medium List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MediumList2-Accent2">
    <w:name w:val="Medium List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MediumList2-Accent3">
    <w:name w:val="Medium List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MediumList2-Accent4">
    <w:name w:val="Medium List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MediumList2-Accent5">
    <w:name w:val="Medium List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MediumList2-Accent6">
    <w:name w:val="Medium List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MediumGrid1-Accent1">
    <w:name w:val="Medium Grid 1 Accent 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-Accent1">
    <w:name w:val="Medium Grid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-Accent1">
    <w:name w:val="Medium Grid 3 Accent 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DarkList-Accent1">
    <w:name w:val="Dark List Accent 1"/>
    <w:basedOn w:val="TableNormal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DarkList-Accent2">
    <w:name w:val="Dark List Accent 2"/>
    <w:basedOn w:val="TableNormal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DarkList-Accent3">
    <w:name w:val="Dark List Accent 3"/>
    <w:basedOn w:val="TableNormal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DarkList-Accent4">
    <w:name w:val="Dark List Accent 4"/>
    <w:basedOn w:val="TableNormal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DarkList-Accent5">
    <w:name w:val="Dark List Accent 5"/>
    <w:basedOn w:val="TableNormal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DarkList-Accent6">
    <w:name w:val="Dark List Accent 6"/>
    <w:basedOn w:val="TableNormal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ColorfulShading-Accent1">
    <w:name w:val="Colorful Shading Accent 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1">
    <w:name w:val="Colorful List Accent 1"/>
    <w:basedOn w:val="TableNormal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-Accent1">
    <w:name w:val="Colorful Grid Accent 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Strong">
    <w:name w:val="Strong"/>
    <w:qFormat/>
    <w:rPr>
      <w:b/>
      <w:bCs/>
    </w:rPr>
  </w:style>
  <w:style w:type="character" w:styleId="EndnoteReference">
    <w:name w:val="endnote reference"/>
    <w:rPr>
      <w:rFonts w:ascii="Times New Roman" w:eastAsia="SimSun" w:hAnsi="Times New Roman" w:cs="Simplified Arabic"/>
      <w:sz w:val="18"/>
      <w:szCs w:val="18"/>
      <w:vertAlign w:val="superscript"/>
      <w:lang w:val="en-GB" w:bidi="ar-AE"/>
    </w:rPr>
  </w:style>
  <w:style w:type="character" w:styleId="PageNumber">
    <w:name w:val="page number"/>
    <w:rPr>
      <w:rFonts w:ascii="Times New Roman" w:eastAsia="SimSun" w:hAnsi="Times New Roman" w:cs="Simplified Arabic"/>
      <w:sz w:val="24"/>
      <w:szCs w:val="24"/>
      <w:lang w:val="en-GB" w:bidi="ar-AE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rPr>
      <w:rFonts w:ascii="Times New Roman" w:eastAsia="SimSun" w:hAnsi="Times New Roman" w:cs="Simplified Arabic"/>
      <w:sz w:val="18"/>
      <w:szCs w:val="18"/>
      <w:lang w:val="en-GB" w:bidi="ar-AE"/>
    </w:rPr>
  </w:style>
  <w:style w:type="character" w:styleId="FootnoteReference">
    <w:name w:val="footnote reference"/>
    <w:rPr>
      <w:rFonts w:ascii="Times New Roman" w:eastAsia="SimSun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Normal"/>
    <w:pPr>
      <w:ind w:left="720"/>
    </w:pPr>
    <w:rPr>
      <w:lang w:eastAsia="en-GB"/>
    </w:rPr>
  </w:style>
  <w:style w:type="paragraph" w:customStyle="1" w:styleId="BodyText4">
    <w:name w:val="Body Text 4"/>
    <w:basedOn w:val="Normal"/>
    <w:pPr>
      <w:ind w:left="2880"/>
    </w:pPr>
    <w:rPr>
      <w:lang w:eastAsia="en-GB"/>
    </w:rPr>
  </w:style>
  <w:style w:type="paragraph" w:customStyle="1" w:styleId="BodyText5">
    <w:name w:val="Body Text 5"/>
    <w:basedOn w:val="Normal"/>
    <w:pPr>
      <w:ind w:left="3600"/>
    </w:pPr>
    <w:rPr>
      <w:lang w:eastAsia="en-GB"/>
    </w:rPr>
  </w:style>
  <w:style w:type="paragraph" w:customStyle="1" w:styleId="BodyText6">
    <w:name w:val="Body Text 6"/>
    <w:basedOn w:val="Normal"/>
    <w:pPr>
      <w:ind w:left="4320"/>
    </w:pPr>
    <w:rPr>
      <w:lang w:eastAsia="en-GB"/>
    </w:rPr>
  </w:style>
  <w:style w:type="paragraph" w:customStyle="1" w:styleId="BodyText7">
    <w:name w:val="Body Text 7"/>
    <w:basedOn w:val="Normal"/>
    <w:pPr>
      <w:ind w:left="5041"/>
    </w:pPr>
    <w:rPr>
      <w:lang w:eastAsia="en-GB"/>
    </w:rPr>
  </w:style>
  <w:style w:type="paragraph" w:customStyle="1" w:styleId="FooterRight">
    <w:name w:val="Footer Right"/>
    <w:basedOn w:val="Footer"/>
    <w:pPr>
      <w:jc w:val="right"/>
    </w:pPr>
  </w:style>
  <w:style w:type="paragraph" w:customStyle="1" w:styleId="Footnote">
    <w:name w:val="Footnote"/>
    <w:basedOn w:val="FootnoteText"/>
    <w:pPr>
      <w:tabs>
        <w:tab w:val="left" w:pos="340"/>
      </w:tabs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qFormat/>
    <w:pPr>
      <w:spacing w:after="0"/>
    </w:pPr>
  </w:style>
  <w:style w:type="paragraph" w:customStyle="1" w:styleId="NormalBold">
    <w:name w:val="NormalBold"/>
    <w:basedOn w:val="Normal"/>
    <w:next w:val="Normal"/>
    <w:rPr>
      <w:b/>
      <w:bCs/>
    </w:rPr>
  </w:style>
  <w:style w:type="paragraph" w:customStyle="1" w:styleId="NormalBoldNS">
    <w:name w:val="NormalBoldNS"/>
    <w:basedOn w:val="Normal"/>
    <w:next w:val="Normal"/>
    <w:pPr>
      <w:spacing w:after="0"/>
      <w:jc w:val="left"/>
    </w:pPr>
    <w:rPr>
      <w:b/>
      <w:bCs/>
    </w:rPr>
  </w:style>
  <w:style w:type="paragraph" w:customStyle="1" w:styleId="NormalNS">
    <w:name w:val="NormalNS"/>
    <w:basedOn w:val="Normal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Normal"/>
    <w:pPr>
      <w:spacing w:after="120"/>
      <w:ind w:left="340"/>
    </w:pPr>
    <w:rPr>
      <w:sz w:val="20"/>
      <w:szCs w:val="20"/>
    </w:rPr>
  </w:style>
  <w:style w:type="paragraph" w:styleId="TOCHeading">
    <w:name w:val="TOC Heading"/>
    <w:basedOn w:val="Normal"/>
    <w:next w:val="Normal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Normal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Subtitle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">
    <w:name w:val="NormalLeft"/>
    <w:basedOn w:val="Normal"/>
    <w:next w:val="Normal"/>
    <w:pPr>
      <w:jc w:val="left"/>
    </w:pPr>
  </w:style>
  <w:style w:type="paragraph" w:styleId="Bibliography">
    <w:name w:val="Bibliography"/>
    <w:basedOn w:val="Normal"/>
    <w:next w:val="Normal"/>
  </w:style>
  <w:style w:type="table" w:customStyle="1" w:styleId="ColorfulGrid1">
    <w:name w:val="Colorful Grid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TableNormal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TableNormal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IntenseQuoteChar">
    <w:name w:val="Intense Quote Char"/>
    <w:link w:val="IntenseQuote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Quote">
    <w:name w:val="Quote"/>
    <w:basedOn w:val="Normal"/>
    <w:next w:val="Normal"/>
    <w:link w:val="QuoteChar"/>
    <w:qFormat/>
    <w:rPr>
      <w:rFonts w:cs="Simplified Arabic"/>
      <w:i/>
      <w:iCs/>
      <w:color w:val="000000"/>
    </w:rPr>
  </w:style>
  <w:style w:type="character" w:customStyle="1" w:styleId="QuoteChar">
    <w:name w:val="Quote Char"/>
    <w:link w:val="Quote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Normal"/>
    <w:next w:val="BodyText3"/>
    <w:link w:val="StandardL9Char"/>
    <w:pPr>
      <w:tabs>
        <w:tab w:val="left" w:pos="2160"/>
      </w:tabs>
      <w:ind w:left="2160" w:hanging="720"/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rFonts w:cs="Simplified Arabic"/>
      <w:sz w:val="24"/>
      <w:szCs w:val="24"/>
      <w:lang w:val="en-GB" w:bidi="ar-AE"/>
    </w:rPr>
  </w:style>
  <w:style w:type="paragraph" w:customStyle="1" w:styleId="StandardL8">
    <w:name w:val="Standard L8"/>
    <w:basedOn w:val="Normal"/>
    <w:next w:val="BodyText2"/>
    <w:link w:val="StandardL8Char"/>
    <w:pPr>
      <w:tabs>
        <w:tab w:val="left" w:pos="1440"/>
      </w:tabs>
      <w:ind w:left="1440" w:hanging="720"/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rFonts w:cs="Simplified Arabic"/>
      <w:sz w:val="24"/>
      <w:szCs w:val="24"/>
      <w:lang w:val="en-GB" w:bidi="ar-AE"/>
    </w:rPr>
  </w:style>
  <w:style w:type="paragraph" w:customStyle="1" w:styleId="StandardL7">
    <w:name w:val="Standard L7"/>
    <w:basedOn w:val="Normal"/>
    <w:next w:val="BodyText6"/>
    <w:link w:val="StandardL7Char"/>
    <w:pPr>
      <w:tabs>
        <w:tab w:val="left" w:pos="4320"/>
      </w:tabs>
      <w:ind w:left="4321" w:hanging="721"/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rFonts w:cs="Simplified Arabic"/>
      <w:sz w:val="24"/>
      <w:szCs w:val="24"/>
      <w:lang w:val="en-GB" w:bidi="ar-AE"/>
    </w:rPr>
  </w:style>
  <w:style w:type="paragraph" w:customStyle="1" w:styleId="StandardL6">
    <w:name w:val="Standard L6"/>
    <w:basedOn w:val="Normal"/>
    <w:next w:val="BodyText5"/>
    <w:link w:val="StandardL6Char"/>
    <w:pPr>
      <w:tabs>
        <w:tab w:val="left" w:pos="3600"/>
      </w:tabs>
      <w:ind w:left="3600" w:hanging="720"/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rFonts w:cs="Simplified Arabic"/>
      <w:sz w:val="24"/>
      <w:szCs w:val="24"/>
      <w:lang w:val="en-GB" w:bidi="ar-AE"/>
    </w:rPr>
  </w:style>
  <w:style w:type="paragraph" w:customStyle="1" w:styleId="StandardL5">
    <w:name w:val="Standard L5"/>
    <w:basedOn w:val="Normal"/>
    <w:next w:val="BodyText4"/>
    <w:link w:val="StandardL5Char"/>
    <w:pPr>
      <w:tabs>
        <w:tab w:val="left" w:pos="2880"/>
      </w:tabs>
      <w:ind w:left="2880" w:hanging="720"/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rFonts w:cs="Simplified Arabic"/>
      <w:sz w:val="24"/>
      <w:szCs w:val="24"/>
      <w:lang w:val="en-GB" w:bidi="ar-AE"/>
    </w:rPr>
  </w:style>
  <w:style w:type="paragraph" w:customStyle="1" w:styleId="BulletL9">
    <w:name w:val="Bullet L9"/>
    <w:basedOn w:val="Normal"/>
    <w:link w:val="BulletL9Char"/>
    <w:pPr>
      <w:tabs>
        <w:tab w:val="left" w:pos="0"/>
      </w:tabs>
      <w:ind w:left="1"/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rFonts w:cs="Simplified Arabic"/>
      <w:sz w:val="24"/>
      <w:szCs w:val="24"/>
      <w:lang w:val="en-GB" w:bidi="ar-AE"/>
    </w:rPr>
  </w:style>
  <w:style w:type="paragraph" w:customStyle="1" w:styleId="BulletL8">
    <w:name w:val="Bullet L8"/>
    <w:basedOn w:val="Normal"/>
    <w:link w:val="BulletL8Char"/>
    <w:pPr>
      <w:tabs>
        <w:tab w:val="left" w:pos="0"/>
      </w:tabs>
      <w:ind w:left="1"/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rFonts w:cs="Simplified Arabic"/>
      <w:sz w:val="24"/>
      <w:szCs w:val="24"/>
      <w:lang w:val="en-GB" w:bidi="ar-AE"/>
    </w:rPr>
  </w:style>
  <w:style w:type="paragraph" w:customStyle="1" w:styleId="BulletL7">
    <w:name w:val="Bullet L7"/>
    <w:basedOn w:val="Normal"/>
    <w:link w:val="BulletL7Char"/>
    <w:pPr>
      <w:tabs>
        <w:tab w:val="left" w:pos="5040"/>
      </w:tabs>
      <w:ind w:left="5041" w:hanging="720"/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rFonts w:cs="Simplified Arabic"/>
      <w:sz w:val="24"/>
      <w:szCs w:val="24"/>
      <w:lang w:val="en-GB" w:bidi="ar-AE"/>
    </w:rPr>
  </w:style>
  <w:style w:type="paragraph" w:customStyle="1" w:styleId="BulletL6">
    <w:name w:val="Bullet L6"/>
    <w:basedOn w:val="Normal"/>
    <w:link w:val="BulletL6Char"/>
    <w:pPr>
      <w:tabs>
        <w:tab w:val="left" w:pos="4320"/>
      </w:tabs>
      <w:ind w:left="4321" w:hanging="720"/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rFonts w:cs="Simplified Arabic"/>
      <w:sz w:val="24"/>
      <w:szCs w:val="24"/>
      <w:lang w:val="en-GB" w:bidi="ar-AE"/>
    </w:rPr>
  </w:style>
  <w:style w:type="paragraph" w:customStyle="1" w:styleId="BulletL5">
    <w:name w:val="Bullet L5"/>
    <w:basedOn w:val="Normal"/>
    <w:link w:val="BulletL5Char"/>
    <w:pPr>
      <w:tabs>
        <w:tab w:val="left" w:pos="3600"/>
      </w:tabs>
      <w:ind w:left="3601" w:hanging="720"/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rFonts w:cs="Simplified Arabic"/>
      <w:sz w:val="24"/>
      <w:szCs w:val="24"/>
      <w:lang w:val="en-GB" w:bidi="ar-AE"/>
    </w:rPr>
  </w:style>
  <w:style w:type="paragraph" w:customStyle="1" w:styleId="BulletL4">
    <w:name w:val="Bullet L4"/>
    <w:basedOn w:val="Normal"/>
    <w:link w:val="BulletL4Char"/>
    <w:pPr>
      <w:tabs>
        <w:tab w:val="left" w:pos="2880"/>
      </w:tabs>
      <w:ind w:left="2881" w:hanging="720"/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rFonts w:cs="Simplified Arabic"/>
      <w:sz w:val="24"/>
      <w:szCs w:val="24"/>
      <w:lang w:val="en-GB" w:bidi="ar-AE"/>
    </w:rPr>
  </w:style>
  <w:style w:type="paragraph" w:customStyle="1" w:styleId="BulletL3">
    <w:name w:val="Bullet L3"/>
    <w:basedOn w:val="Normal"/>
    <w:link w:val="BulletL3Char"/>
    <w:pPr>
      <w:tabs>
        <w:tab w:val="left" w:pos="2160"/>
      </w:tabs>
      <w:ind w:left="2161" w:hanging="720"/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rFonts w:cs="Simplified Arabic"/>
      <w:sz w:val="24"/>
      <w:szCs w:val="24"/>
      <w:lang w:val="en-GB" w:bidi="ar-AE"/>
    </w:rPr>
  </w:style>
  <w:style w:type="paragraph" w:customStyle="1" w:styleId="BulletL2">
    <w:name w:val="Bullet L2"/>
    <w:basedOn w:val="Normal"/>
    <w:link w:val="BulletL2Char"/>
    <w:pPr>
      <w:tabs>
        <w:tab w:val="left" w:pos="1440"/>
      </w:tabs>
      <w:ind w:left="1441" w:hanging="720"/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rFonts w:cs="Simplified Arabic"/>
      <w:sz w:val="24"/>
      <w:szCs w:val="24"/>
      <w:lang w:val="en-GB" w:bidi="ar-AE"/>
    </w:rPr>
  </w:style>
  <w:style w:type="paragraph" w:customStyle="1" w:styleId="BulletL1">
    <w:name w:val="Bullet L1"/>
    <w:basedOn w:val="Normal"/>
    <w:link w:val="BulletL1Char"/>
    <w:pPr>
      <w:tabs>
        <w:tab w:val="left" w:pos="720"/>
      </w:tabs>
      <w:ind w:left="721" w:hanging="720"/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rFonts w:cs="Simplified Arabic"/>
      <w:sz w:val="24"/>
      <w:szCs w:val="24"/>
      <w:lang w:val="en-GB" w:bidi="ar-AE"/>
    </w:rPr>
  </w:style>
  <w:style w:type="paragraph" w:customStyle="1" w:styleId="StandardL4">
    <w:name w:val="Standard L4"/>
    <w:basedOn w:val="Normal"/>
    <w:next w:val="BodyText3"/>
    <w:link w:val="StandardL4Char"/>
    <w:pPr>
      <w:tabs>
        <w:tab w:val="left" w:pos="2160"/>
      </w:tabs>
      <w:ind w:left="2160" w:hanging="720"/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rFonts w:cs="Simplified Arabic"/>
      <w:sz w:val="24"/>
      <w:szCs w:val="24"/>
      <w:lang w:val="en-GB" w:bidi="ar-AE"/>
    </w:rPr>
  </w:style>
  <w:style w:type="paragraph" w:customStyle="1" w:styleId="StandardL3">
    <w:name w:val="Standard L3"/>
    <w:basedOn w:val="Normal"/>
    <w:next w:val="BodyText2"/>
    <w:link w:val="StandardL3Char"/>
    <w:pPr>
      <w:tabs>
        <w:tab w:val="left" w:pos="1440"/>
      </w:tabs>
      <w:ind w:left="1440" w:hanging="720"/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rFonts w:cs="Simplified Arabic"/>
      <w:sz w:val="24"/>
      <w:szCs w:val="24"/>
      <w:lang w:val="en-GB" w:bidi="ar-AE"/>
    </w:rPr>
  </w:style>
  <w:style w:type="paragraph" w:customStyle="1" w:styleId="StandardL2">
    <w:name w:val="Standard L2"/>
    <w:basedOn w:val="Normal"/>
    <w:next w:val="BodyText1"/>
    <w:link w:val="StandardL2Char"/>
    <w:pPr>
      <w:tabs>
        <w:tab w:val="left" w:pos="720"/>
      </w:tabs>
      <w:ind w:left="720" w:hanging="720"/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rFonts w:cs="Simplified Arabic"/>
      <w:sz w:val="24"/>
      <w:szCs w:val="24"/>
      <w:lang w:val="en-GB" w:bidi="ar-AE"/>
    </w:rPr>
  </w:style>
  <w:style w:type="paragraph" w:customStyle="1" w:styleId="StandardL1">
    <w:name w:val="Standard L1"/>
    <w:basedOn w:val="Normal"/>
    <w:next w:val="BodyText1"/>
    <w:link w:val="StandardL1Char"/>
    <w:pPr>
      <w:keepNext/>
      <w:tabs>
        <w:tab w:val="left" w:pos="720"/>
      </w:tabs>
      <w:suppressAutoHyphens/>
      <w:ind w:left="720" w:hanging="720"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rFonts w:cs="Simplified Arabic"/>
      <w:b/>
      <w:caps/>
      <w:sz w:val="24"/>
      <w:szCs w:val="24"/>
      <w:lang w:val="en-GB"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0">
    <w:name w:val="Normal + Left"/>
    <w:basedOn w:val="Bullet1"/>
    <w:pPr>
      <w:spacing w:before="0"/>
      <w:ind w:left="644" w:hanging="360"/>
    </w:pPr>
    <w:rPr>
      <w:rFonts w:eastAsia="FangSong_GB2312"/>
      <w:bCs/>
      <w:sz w:val="21"/>
      <w:szCs w:val="21"/>
    </w:rPr>
  </w:style>
  <w:style w:type="paragraph" w:styleId="Revision">
    <w:name w:val="Revision"/>
    <w:hidden/>
    <w:uiPriority w:val="99"/>
    <w:unhideWhenUsed/>
    <w:rsid w:val="00F6561F"/>
    <w:rPr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580</Characters>
  <Application>Microsoft Office Word</Application>
  <DocSecurity>0</DocSecurity>
  <Lines>38</Lines>
  <Paragraphs>30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2024-10-29T05:03:00Z</dcterms:created>
  <dcterms:modified xsi:type="dcterms:W3CDTF">2024-10-29T05:04:00Z</dcterms:modified>
</cp:coreProperties>
</file>