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43E66E">
      <w:pPr>
        <w:widowControl/>
        <w:spacing w:after="240"/>
        <w:jc w:val="center"/>
        <w:rPr>
          <w:rFonts w:hint="default" w:ascii="Times New Roman" w:hAnsi="Times New Roman" w:eastAsia="黑体" w:cs="Times New Roman"/>
          <w:bCs/>
          <w:kern w:val="0"/>
          <w:sz w:val="44"/>
          <w:szCs w:val="44"/>
          <w:lang w:val="en-GB" w:bidi="ar-AE"/>
        </w:rPr>
      </w:pPr>
      <w:bookmarkStart w:id="0" w:name="_GoBack"/>
      <w:r>
        <w:rPr>
          <w:rFonts w:hint="eastAsia" w:ascii="黑体" w:hAnsi="黑体" w:eastAsia="黑体" w:cs="黑体"/>
          <w:bCs/>
          <w:kern w:val="0"/>
          <w:sz w:val="36"/>
          <w:szCs w:val="36"/>
          <w:lang w:val="en-GB" w:bidi="ar-AE"/>
        </w:rPr>
        <w:t>经营者集中简易案件公示表</w:t>
      </w:r>
    </w:p>
    <w:bookmarkEnd w:id="0"/>
    <w:tbl>
      <w:tblPr>
        <w:tblStyle w:val="5"/>
        <w:tblW w:w="9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0"/>
        <w:gridCol w:w="1607"/>
        <w:gridCol w:w="6093"/>
      </w:tblGrid>
      <w:tr w14:paraId="45B4D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940" w:type="dxa"/>
            <w:shd w:val="clear" w:color="auto" w:fill="auto"/>
            <w:vAlign w:val="center"/>
          </w:tcPr>
          <w:p w14:paraId="29674EE8">
            <w:pPr>
              <w:pStyle w:val="3"/>
              <w:adjustRightInd w:val="0"/>
              <w:snapToGrid w:val="0"/>
              <w:spacing w:after="0"/>
              <w:jc w:val="center"/>
              <w:rPr>
                <w:rFonts w:hint="eastAsia" w:ascii="宋体" w:hAnsi="宋体" w:eastAsia="宋体" w:cs="宋体"/>
                <w:b w:val="0"/>
                <w:bCs/>
                <w:color w:val="000000"/>
                <w:sz w:val="24"/>
                <w:szCs w:val="24"/>
              </w:rPr>
            </w:pPr>
            <w:r>
              <w:rPr>
                <w:rFonts w:hint="eastAsia" w:ascii="宋体" w:hAnsi="宋体" w:eastAsia="宋体" w:cs="宋体"/>
                <w:b w:val="0"/>
                <w:bCs/>
                <w:color w:val="000000"/>
                <w:sz w:val="24"/>
                <w:szCs w:val="24"/>
              </w:rPr>
              <w:t>案件名称</w:t>
            </w:r>
          </w:p>
        </w:tc>
        <w:tc>
          <w:tcPr>
            <w:tcW w:w="7700" w:type="dxa"/>
            <w:gridSpan w:val="2"/>
            <w:shd w:val="clear" w:color="auto" w:fill="auto"/>
            <w:vAlign w:val="center"/>
          </w:tcPr>
          <w:p w14:paraId="64DF1191">
            <w:pPr>
              <w:adjustRightInd w:val="0"/>
              <w:snapToGrid w:val="0"/>
              <w:rPr>
                <w:rFonts w:hint="eastAsia" w:ascii="宋体" w:hAnsi="宋体" w:eastAsia="宋体" w:cs="宋体"/>
                <w:bCs/>
                <w:color w:val="000000"/>
                <w:sz w:val="24"/>
                <w:szCs w:val="24"/>
              </w:rPr>
            </w:pPr>
            <w:r>
              <w:rPr>
                <w:rFonts w:hint="eastAsia" w:ascii="宋体" w:hAnsi="宋体" w:eastAsia="宋体" w:cs="宋体"/>
                <w:bCs/>
                <w:color w:val="000000"/>
                <w:kern w:val="2"/>
                <w:sz w:val="24"/>
                <w:szCs w:val="24"/>
                <w:lang w:bidi="ar-SA"/>
              </w:rPr>
              <w:t>宁波均胜电子股份有限公司收购广东香山衡器集团股份有限公司股权案</w:t>
            </w:r>
          </w:p>
        </w:tc>
      </w:tr>
      <w:tr w14:paraId="2A92E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2" w:hRule="atLeast"/>
          <w:jc w:val="center"/>
        </w:trPr>
        <w:tc>
          <w:tcPr>
            <w:tcW w:w="1940" w:type="dxa"/>
            <w:shd w:val="clear" w:color="auto" w:fill="auto"/>
            <w:vAlign w:val="center"/>
          </w:tcPr>
          <w:p w14:paraId="55EC3875">
            <w:pPr>
              <w:pStyle w:val="3"/>
              <w:adjustRightInd w:val="0"/>
              <w:snapToGrid w:val="0"/>
              <w:spacing w:after="0"/>
              <w:jc w:val="center"/>
              <w:rPr>
                <w:rFonts w:hint="eastAsia" w:ascii="宋体" w:hAnsi="宋体" w:eastAsia="宋体" w:cs="宋体"/>
                <w:b w:val="0"/>
                <w:bCs/>
                <w:color w:val="000000"/>
                <w:sz w:val="24"/>
                <w:szCs w:val="24"/>
              </w:rPr>
            </w:pPr>
            <w:r>
              <w:rPr>
                <w:rFonts w:hint="eastAsia" w:ascii="宋体" w:hAnsi="宋体" w:eastAsia="宋体" w:cs="宋体"/>
                <w:b w:val="0"/>
                <w:bCs/>
                <w:color w:val="000000"/>
                <w:sz w:val="24"/>
                <w:szCs w:val="24"/>
              </w:rPr>
              <w:t>交易概况</w:t>
            </w:r>
          </w:p>
          <w:p w14:paraId="7A7781B1">
            <w:pPr>
              <w:pStyle w:val="3"/>
              <w:adjustRightInd w:val="0"/>
              <w:snapToGrid w:val="0"/>
              <w:spacing w:after="0"/>
              <w:jc w:val="center"/>
              <w:rPr>
                <w:rFonts w:hint="eastAsia" w:ascii="宋体" w:hAnsi="宋体" w:eastAsia="宋体" w:cs="宋体"/>
                <w:b w:val="0"/>
                <w:bCs/>
                <w:color w:val="000000"/>
                <w:sz w:val="24"/>
                <w:szCs w:val="24"/>
              </w:rPr>
            </w:pPr>
            <w:r>
              <w:rPr>
                <w:rFonts w:hint="eastAsia" w:ascii="宋体" w:hAnsi="宋体" w:eastAsia="宋体" w:cs="宋体"/>
                <w:b w:val="0"/>
                <w:bCs/>
                <w:color w:val="000000"/>
                <w:sz w:val="24"/>
                <w:szCs w:val="24"/>
              </w:rPr>
              <w:t>（限200字内）</w:t>
            </w:r>
          </w:p>
        </w:tc>
        <w:tc>
          <w:tcPr>
            <w:tcW w:w="7700" w:type="dxa"/>
            <w:gridSpan w:val="2"/>
            <w:vAlign w:val="center"/>
          </w:tcPr>
          <w:p w14:paraId="1A0399E4">
            <w:pPr>
              <w:adjustRightInd w:val="0"/>
              <w:snapToGrid w:val="0"/>
              <w:rPr>
                <w:rFonts w:hint="eastAsia" w:ascii="宋体" w:hAnsi="宋体" w:eastAsia="宋体" w:cs="宋体"/>
                <w:bCs/>
                <w:color w:val="000000"/>
                <w:sz w:val="24"/>
                <w:szCs w:val="24"/>
              </w:rPr>
            </w:pPr>
            <w:r>
              <w:rPr>
                <w:rFonts w:hint="eastAsia" w:ascii="宋体" w:hAnsi="宋体" w:eastAsia="宋体" w:cs="宋体"/>
                <w:bCs/>
                <w:color w:val="000000"/>
                <w:sz w:val="24"/>
                <w:szCs w:val="24"/>
              </w:rPr>
              <w:t>宁波均胜电子股份有限公司（“均胜电子”）持有广东香山衡器集团股份有限公司（“香山股份”）23.3101%的股份。香山股份</w:t>
            </w:r>
            <w:r>
              <w:rPr>
                <w:rFonts w:hint="eastAsia" w:ascii="宋体" w:hAnsi="宋体" w:cs="宋体"/>
                <w:bCs/>
                <w:color w:val="000000"/>
                <w:sz w:val="24"/>
                <w:szCs w:val="24"/>
                <w:lang w:val="en-US" w:eastAsia="zh-CN"/>
              </w:rPr>
              <w:t>主要从事</w:t>
            </w:r>
            <w:r>
              <w:rPr>
                <w:rFonts w:hint="eastAsia" w:ascii="宋体" w:hAnsi="宋体" w:eastAsia="宋体" w:cs="宋体"/>
                <w:bCs/>
                <w:kern w:val="2"/>
                <w:sz w:val="24"/>
                <w:szCs w:val="24"/>
                <w:lang w:eastAsia="zh-CN" w:bidi="ar-SA"/>
              </w:rPr>
              <w:t>汽车零部件业务、衡器业务</w:t>
            </w:r>
            <w:r>
              <w:rPr>
                <w:rFonts w:hint="eastAsia" w:ascii="宋体" w:hAnsi="宋体" w:cs="宋体"/>
                <w:bCs/>
                <w:color w:val="000000"/>
                <w:sz w:val="24"/>
                <w:szCs w:val="24"/>
                <w:lang w:val="en-US" w:eastAsia="zh-CN"/>
              </w:rPr>
              <w:t>。</w:t>
            </w:r>
            <w:r>
              <w:rPr>
                <w:rFonts w:hint="eastAsia" w:ascii="宋体" w:hAnsi="宋体" w:eastAsia="宋体" w:cs="宋体"/>
                <w:bCs/>
                <w:color w:val="000000"/>
                <w:sz w:val="24"/>
                <w:szCs w:val="24"/>
              </w:rPr>
              <w:t>均胜电子拟通过集中竞价或大宗交易的方式进一步增持香山股份的股份。交易前，某自然人及其一致行动人</w:t>
            </w:r>
            <w:r>
              <w:rPr>
                <w:rFonts w:hint="eastAsia" w:ascii="宋体" w:hAnsi="宋体" w:cs="宋体"/>
                <w:bCs/>
                <w:color w:val="000000"/>
                <w:sz w:val="24"/>
                <w:szCs w:val="24"/>
                <w:lang w:val="en-US" w:eastAsia="zh-CN"/>
              </w:rPr>
              <w:t>持有</w:t>
            </w:r>
            <w:r>
              <w:rPr>
                <w:rFonts w:hint="eastAsia" w:ascii="宋体" w:hAnsi="宋体" w:eastAsia="宋体" w:cs="宋体"/>
                <w:bCs/>
                <w:color w:val="000000"/>
                <w:sz w:val="24"/>
                <w:szCs w:val="24"/>
              </w:rPr>
              <w:t>香山股份</w:t>
            </w:r>
            <w:r>
              <w:rPr>
                <w:rFonts w:hint="eastAsia" w:ascii="宋体" w:hAnsi="宋体" w:cs="宋体"/>
                <w:bCs/>
                <w:color w:val="000000"/>
                <w:sz w:val="24"/>
                <w:szCs w:val="24"/>
                <w:lang w:val="en-US" w:eastAsia="zh-CN"/>
              </w:rPr>
              <w:t>28.28%的股权，单独控制</w:t>
            </w:r>
            <w:r>
              <w:rPr>
                <w:rFonts w:hint="eastAsia" w:ascii="宋体" w:hAnsi="宋体" w:eastAsia="宋体" w:cs="宋体"/>
                <w:bCs/>
                <w:color w:val="000000"/>
                <w:sz w:val="24"/>
                <w:szCs w:val="24"/>
              </w:rPr>
              <w:t>香山股份。交易后，均胜电子将单独控制香山股份。</w:t>
            </w:r>
          </w:p>
        </w:tc>
      </w:tr>
      <w:tr w14:paraId="5DAE1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8" w:hRule="atLeast"/>
          <w:jc w:val="center"/>
        </w:trPr>
        <w:tc>
          <w:tcPr>
            <w:tcW w:w="1940" w:type="dxa"/>
            <w:vMerge w:val="restart"/>
            <w:shd w:val="clear" w:color="auto" w:fill="auto"/>
            <w:vAlign w:val="center"/>
          </w:tcPr>
          <w:p w14:paraId="075EC244">
            <w:pPr>
              <w:pStyle w:val="3"/>
              <w:adjustRightInd w:val="0"/>
              <w:snapToGrid w:val="0"/>
              <w:spacing w:after="0"/>
              <w:jc w:val="center"/>
              <w:rPr>
                <w:rFonts w:hint="eastAsia" w:ascii="宋体" w:hAnsi="宋体" w:eastAsia="宋体" w:cs="宋体"/>
                <w:b w:val="0"/>
                <w:bCs/>
                <w:color w:val="000000"/>
                <w:sz w:val="24"/>
                <w:szCs w:val="24"/>
              </w:rPr>
            </w:pPr>
            <w:r>
              <w:rPr>
                <w:rFonts w:hint="eastAsia" w:ascii="宋体" w:hAnsi="宋体" w:eastAsia="宋体" w:cs="宋体"/>
                <w:b w:val="0"/>
                <w:bCs/>
                <w:color w:val="000000"/>
                <w:sz w:val="24"/>
                <w:szCs w:val="24"/>
              </w:rPr>
              <w:t>参与集中的</w:t>
            </w:r>
          </w:p>
          <w:p w14:paraId="765D0E8E">
            <w:pPr>
              <w:pStyle w:val="3"/>
              <w:adjustRightInd w:val="0"/>
              <w:snapToGrid w:val="0"/>
              <w:spacing w:after="0"/>
              <w:jc w:val="center"/>
              <w:rPr>
                <w:rFonts w:hint="eastAsia" w:ascii="宋体" w:hAnsi="宋体" w:eastAsia="宋体" w:cs="宋体"/>
                <w:b w:val="0"/>
                <w:bCs/>
                <w:color w:val="000000"/>
                <w:sz w:val="24"/>
                <w:szCs w:val="24"/>
              </w:rPr>
            </w:pPr>
            <w:r>
              <w:rPr>
                <w:rFonts w:hint="eastAsia" w:ascii="宋体" w:hAnsi="宋体" w:eastAsia="宋体" w:cs="宋体"/>
                <w:b w:val="0"/>
                <w:bCs/>
                <w:color w:val="000000"/>
                <w:sz w:val="24"/>
                <w:szCs w:val="24"/>
              </w:rPr>
              <w:t>经营者简介</w:t>
            </w:r>
          </w:p>
          <w:p w14:paraId="3B43A42D">
            <w:pPr>
              <w:pStyle w:val="3"/>
              <w:adjustRightInd w:val="0"/>
              <w:snapToGrid w:val="0"/>
              <w:spacing w:after="0"/>
              <w:jc w:val="center"/>
              <w:rPr>
                <w:rFonts w:hint="eastAsia" w:ascii="宋体" w:hAnsi="宋体" w:eastAsia="宋体" w:cs="宋体"/>
                <w:b w:val="0"/>
                <w:bCs/>
                <w:color w:val="000000"/>
                <w:sz w:val="24"/>
                <w:szCs w:val="24"/>
              </w:rPr>
            </w:pPr>
            <w:r>
              <w:rPr>
                <w:rFonts w:hint="eastAsia" w:ascii="宋体" w:hAnsi="宋体" w:eastAsia="宋体" w:cs="宋体"/>
                <w:b w:val="0"/>
                <w:bCs/>
                <w:color w:val="000000"/>
                <w:sz w:val="24"/>
                <w:szCs w:val="24"/>
              </w:rPr>
              <w:t>（每个限100</w:t>
            </w:r>
          </w:p>
          <w:p w14:paraId="08374432">
            <w:pPr>
              <w:pStyle w:val="3"/>
              <w:adjustRightInd w:val="0"/>
              <w:snapToGrid w:val="0"/>
              <w:spacing w:after="0"/>
              <w:jc w:val="center"/>
              <w:rPr>
                <w:rFonts w:hint="eastAsia" w:ascii="宋体" w:hAnsi="宋体" w:eastAsia="宋体" w:cs="宋体"/>
                <w:b w:val="0"/>
                <w:bCs/>
                <w:color w:val="000000"/>
                <w:sz w:val="24"/>
                <w:szCs w:val="24"/>
              </w:rPr>
            </w:pPr>
            <w:r>
              <w:rPr>
                <w:rFonts w:hint="eastAsia" w:ascii="宋体" w:hAnsi="宋体" w:eastAsia="宋体" w:cs="宋体"/>
                <w:b w:val="0"/>
                <w:bCs/>
                <w:color w:val="000000"/>
                <w:sz w:val="24"/>
                <w:szCs w:val="24"/>
              </w:rPr>
              <w:t>字以内）</w:t>
            </w:r>
          </w:p>
        </w:tc>
        <w:tc>
          <w:tcPr>
            <w:tcW w:w="1607" w:type="dxa"/>
            <w:vAlign w:val="center"/>
          </w:tcPr>
          <w:p w14:paraId="657CB381">
            <w:pPr>
              <w:pStyle w:val="3"/>
              <w:adjustRightInd w:val="0"/>
              <w:snapToGrid w:val="0"/>
              <w:spacing w:after="0"/>
              <w:rPr>
                <w:rFonts w:hint="eastAsia" w:ascii="宋体" w:hAnsi="宋体" w:eastAsia="宋体" w:cs="宋体"/>
                <w:bCs/>
                <w:color w:val="000000"/>
                <w:sz w:val="24"/>
                <w:szCs w:val="24"/>
                <w:lang w:eastAsia="zh-CN"/>
              </w:rPr>
            </w:pPr>
            <w:r>
              <w:rPr>
                <w:rFonts w:hint="eastAsia" w:ascii="宋体" w:hAnsi="宋体" w:eastAsia="宋体" w:cs="宋体"/>
                <w:bCs/>
                <w:color w:val="000000"/>
                <w:sz w:val="24"/>
                <w:szCs w:val="24"/>
                <w:lang w:bidi="ar-SA"/>
              </w:rPr>
              <w:t>1. 均胜电子</w:t>
            </w:r>
          </w:p>
        </w:tc>
        <w:tc>
          <w:tcPr>
            <w:tcW w:w="6093" w:type="dxa"/>
            <w:vAlign w:val="center"/>
          </w:tcPr>
          <w:p w14:paraId="212AAB6E">
            <w:pPr>
              <w:adjustRightInd w:val="0"/>
              <w:snapToGrid w:val="0"/>
              <w:jc w:val="left"/>
              <w:rPr>
                <w:rFonts w:hint="eastAsia" w:ascii="宋体" w:hAnsi="宋体" w:eastAsia="宋体" w:cs="宋体"/>
                <w:bCs/>
                <w:color w:val="000000"/>
                <w:sz w:val="24"/>
                <w:szCs w:val="24"/>
                <w:lang w:bidi="ar-SA"/>
              </w:rPr>
            </w:pPr>
            <w:r>
              <w:rPr>
                <w:rFonts w:hint="eastAsia" w:ascii="宋体" w:hAnsi="宋体" w:eastAsia="宋体" w:cs="宋体"/>
                <w:bCs/>
                <w:color w:val="000000"/>
                <w:sz w:val="24"/>
                <w:szCs w:val="24"/>
                <w:lang w:bidi="ar-SA"/>
              </w:rPr>
              <w:t>均胜电子于1992年8月7日成立于中国浙江省，为上海证券交易所上市公司，主要业务为汽车电子业务、汽车安全业务。</w:t>
            </w:r>
          </w:p>
          <w:p w14:paraId="30AEA724">
            <w:pPr>
              <w:adjustRightInd w:val="0"/>
              <w:snapToGrid w:val="0"/>
              <w:jc w:val="left"/>
              <w:rPr>
                <w:rFonts w:hint="eastAsia" w:ascii="宋体" w:hAnsi="宋体" w:eastAsia="宋体" w:cs="宋体"/>
                <w:bCs/>
                <w:color w:val="000000"/>
                <w:sz w:val="24"/>
                <w:szCs w:val="24"/>
                <w:lang w:eastAsia="zh-CN" w:bidi="ar-AE"/>
              </w:rPr>
            </w:pPr>
            <w:r>
              <w:rPr>
                <w:rFonts w:hint="eastAsia" w:ascii="宋体" w:hAnsi="宋体" w:eastAsia="宋体" w:cs="宋体"/>
                <w:bCs/>
                <w:color w:val="000000"/>
                <w:sz w:val="24"/>
                <w:szCs w:val="24"/>
                <w:lang w:bidi="ar-SA"/>
              </w:rPr>
              <w:t>均胜电子最终控制人为自然人，主要通过均胜电子开展业务。</w:t>
            </w:r>
          </w:p>
        </w:tc>
      </w:tr>
      <w:tr w14:paraId="46CA4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4" w:hRule="atLeast"/>
          <w:jc w:val="center"/>
        </w:trPr>
        <w:tc>
          <w:tcPr>
            <w:tcW w:w="1940" w:type="dxa"/>
            <w:vMerge w:val="continue"/>
            <w:shd w:val="clear" w:color="auto" w:fill="auto"/>
            <w:vAlign w:val="center"/>
          </w:tcPr>
          <w:p w14:paraId="15730774">
            <w:pPr>
              <w:pStyle w:val="3"/>
              <w:adjustRightInd w:val="0"/>
              <w:snapToGrid w:val="0"/>
              <w:spacing w:after="0"/>
              <w:jc w:val="center"/>
              <w:rPr>
                <w:rFonts w:hint="eastAsia" w:ascii="宋体" w:hAnsi="宋体" w:eastAsia="宋体" w:cs="宋体"/>
                <w:b w:val="0"/>
                <w:bCs/>
                <w:color w:val="000000"/>
                <w:sz w:val="24"/>
                <w:szCs w:val="24"/>
              </w:rPr>
            </w:pPr>
          </w:p>
        </w:tc>
        <w:tc>
          <w:tcPr>
            <w:tcW w:w="1607" w:type="dxa"/>
            <w:vAlign w:val="center"/>
          </w:tcPr>
          <w:p w14:paraId="20237DEF">
            <w:pPr>
              <w:pStyle w:val="3"/>
              <w:adjustRightInd w:val="0"/>
              <w:snapToGrid w:val="0"/>
              <w:spacing w:after="0"/>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rPr>
              <w:t xml:space="preserve">2. </w:t>
            </w:r>
            <w:r>
              <w:rPr>
                <w:rFonts w:hint="eastAsia" w:ascii="宋体" w:hAnsi="宋体" w:eastAsia="宋体" w:cs="宋体"/>
                <w:bCs/>
                <w:color w:val="000000"/>
                <w:sz w:val="24"/>
                <w:szCs w:val="24"/>
                <w:lang w:val="en-US" w:eastAsia="zh-CN"/>
              </w:rPr>
              <w:t>香山股份</w:t>
            </w:r>
          </w:p>
        </w:tc>
        <w:tc>
          <w:tcPr>
            <w:tcW w:w="6093" w:type="dxa"/>
            <w:vAlign w:val="center"/>
          </w:tcPr>
          <w:p w14:paraId="03EFAB3B">
            <w:pPr>
              <w:widowControl/>
              <w:adjustRightInd w:val="0"/>
              <w:snapToGrid w:val="0"/>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香山股份于1999年6月22日成立于中国广东省，为深圳证券交易所上市公司，主要业务为汽车零部件业务、衡器业务。</w:t>
            </w:r>
          </w:p>
          <w:p w14:paraId="1603F6B1">
            <w:pPr>
              <w:widowControl/>
              <w:adjustRightInd w:val="0"/>
              <w:snapToGrid w:val="0"/>
              <w:rPr>
                <w:rFonts w:hint="eastAsia" w:ascii="宋体" w:hAnsi="宋体" w:eastAsia="宋体" w:cs="宋体"/>
                <w:bCs/>
                <w:color w:val="000000"/>
                <w:kern w:val="2"/>
                <w:sz w:val="24"/>
                <w:szCs w:val="24"/>
                <w:lang w:bidi="ar-AE"/>
              </w:rPr>
            </w:pPr>
            <w:r>
              <w:rPr>
                <w:rFonts w:hint="eastAsia" w:ascii="宋体" w:hAnsi="宋体" w:eastAsia="宋体" w:cs="宋体"/>
                <w:bCs/>
                <w:color w:val="000000"/>
                <w:sz w:val="24"/>
                <w:szCs w:val="24"/>
                <w:lang w:val="en-US" w:eastAsia="zh-CN"/>
              </w:rPr>
              <w:t>香山股份最终控制人为自然人，主要通过香山股份开展业务。</w:t>
            </w:r>
          </w:p>
        </w:tc>
      </w:tr>
      <w:tr w14:paraId="0B34E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1940" w:type="dxa"/>
            <w:vMerge w:val="restart"/>
            <w:shd w:val="clear" w:color="auto" w:fill="auto"/>
            <w:vAlign w:val="center"/>
          </w:tcPr>
          <w:p w14:paraId="464CA753">
            <w:pPr>
              <w:pStyle w:val="3"/>
              <w:adjustRightInd w:val="0"/>
              <w:snapToGrid w:val="0"/>
              <w:spacing w:after="0"/>
              <w:jc w:val="center"/>
              <w:rPr>
                <w:rFonts w:hint="eastAsia" w:ascii="宋体" w:hAnsi="宋体" w:eastAsia="宋体" w:cs="宋体"/>
                <w:b w:val="0"/>
                <w:bCs/>
                <w:color w:val="000000"/>
                <w:sz w:val="24"/>
                <w:szCs w:val="24"/>
              </w:rPr>
            </w:pPr>
            <w:r>
              <w:rPr>
                <w:rFonts w:hint="eastAsia" w:ascii="宋体" w:hAnsi="宋体" w:eastAsia="宋体" w:cs="宋体"/>
                <w:b w:val="0"/>
                <w:bCs/>
                <w:color w:val="000000"/>
                <w:sz w:val="24"/>
                <w:szCs w:val="24"/>
              </w:rPr>
              <w:t>简易案件理由（可以单选，</w:t>
            </w:r>
          </w:p>
          <w:p w14:paraId="1836E506">
            <w:pPr>
              <w:pStyle w:val="3"/>
              <w:adjustRightInd w:val="0"/>
              <w:snapToGrid w:val="0"/>
              <w:spacing w:after="0"/>
              <w:jc w:val="center"/>
              <w:rPr>
                <w:rFonts w:hint="eastAsia" w:ascii="宋体" w:hAnsi="宋体" w:eastAsia="宋体" w:cs="宋体"/>
                <w:b w:val="0"/>
                <w:bCs/>
                <w:color w:val="000000"/>
                <w:sz w:val="24"/>
                <w:szCs w:val="24"/>
              </w:rPr>
            </w:pPr>
            <w:r>
              <w:rPr>
                <w:rFonts w:hint="eastAsia" w:ascii="宋体" w:hAnsi="宋体" w:eastAsia="宋体" w:cs="宋体"/>
                <w:b w:val="0"/>
                <w:bCs/>
                <w:color w:val="000000"/>
                <w:sz w:val="24"/>
                <w:szCs w:val="24"/>
              </w:rPr>
              <w:t>也可以多选）</w:t>
            </w:r>
          </w:p>
        </w:tc>
        <w:tc>
          <w:tcPr>
            <w:tcW w:w="7700" w:type="dxa"/>
            <w:gridSpan w:val="2"/>
            <w:vAlign w:val="center"/>
          </w:tcPr>
          <w:p w14:paraId="73CE607C">
            <w:pPr>
              <w:pStyle w:val="3"/>
              <w:adjustRightInd w:val="0"/>
              <w:snapToGrid w:val="0"/>
              <w:spacing w:after="0"/>
              <w:rPr>
                <w:rFonts w:hint="eastAsia" w:ascii="宋体" w:hAnsi="宋体" w:eastAsia="宋体" w:cs="宋体"/>
                <w:bCs/>
                <w:color w:val="000000"/>
                <w:sz w:val="24"/>
                <w:szCs w:val="24"/>
              </w:rPr>
            </w:pPr>
            <w:r>
              <w:rPr>
                <w:rFonts w:hint="eastAsia" w:ascii="宋体" w:hAnsi="宋体" w:eastAsia="宋体" w:cs="宋体"/>
                <w:bCs/>
                <w:color w:val="000000"/>
                <w:sz w:val="24"/>
                <w:szCs w:val="24"/>
              </w:rPr>
              <w:sym w:font="Wingdings" w:char="00A8"/>
            </w:r>
            <w:r>
              <w:rPr>
                <w:rFonts w:hint="eastAsia" w:ascii="宋体" w:hAnsi="宋体" w:eastAsia="宋体" w:cs="宋体"/>
                <w:bCs/>
                <w:color w:val="000000"/>
                <w:sz w:val="24"/>
                <w:szCs w:val="24"/>
              </w:rPr>
              <w:t xml:space="preserve"> 1、在同一相关市场，所有参与集中的经营者所占市场份额之和小于15%。</w:t>
            </w:r>
          </w:p>
        </w:tc>
      </w:tr>
      <w:tr w14:paraId="7D3B7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1940" w:type="dxa"/>
            <w:vMerge w:val="continue"/>
            <w:shd w:val="clear" w:color="auto" w:fill="auto"/>
            <w:vAlign w:val="center"/>
          </w:tcPr>
          <w:p w14:paraId="3DC12AE6">
            <w:pPr>
              <w:pStyle w:val="3"/>
              <w:adjustRightInd w:val="0"/>
              <w:snapToGrid w:val="0"/>
              <w:spacing w:after="0"/>
              <w:jc w:val="center"/>
              <w:rPr>
                <w:rFonts w:hint="eastAsia" w:ascii="宋体" w:hAnsi="宋体" w:eastAsia="宋体" w:cs="宋体"/>
                <w:b w:val="0"/>
                <w:bCs/>
                <w:color w:val="000000"/>
                <w:sz w:val="24"/>
                <w:szCs w:val="24"/>
              </w:rPr>
            </w:pPr>
          </w:p>
        </w:tc>
        <w:tc>
          <w:tcPr>
            <w:tcW w:w="7700" w:type="dxa"/>
            <w:gridSpan w:val="2"/>
            <w:vAlign w:val="center"/>
          </w:tcPr>
          <w:p w14:paraId="73A6BC8E">
            <w:pPr>
              <w:pStyle w:val="3"/>
              <w:adjustRightInd w:val="0"/>
              <w:snapToGrid w:val="0"/>
              <w:spacing w:after="0"/>
              <w:rPr>
                <w:rFonts w:hint="eastAsia" w:ascii="宋体" w:hAnsi="宋体" w:eastAsia="宋体" w:cs="宋体"/>
                <w:bCs/>
                <w:color w:val="000000"/>
                <w:sz w:val="24"/>
                <w:szCs w:val="24"/>
              </w:rPr>
            </w:pPr>
            <w:r>
              <w:rPr>
                <w:rFonts w:hint="eastAsia" w:ascii="宋体" w:hAnsi="宋体" w:eastAsia="宋体" w:cs="宋体"/>
                <w:bCs/>
                <w:color w:val="000000"/>
                <w:sz w:val="24"/>
                <w:szCs w:val="24"/>
              </w:rPr>
              <w:sym w:font="Wingdings" w:char="00A8"/>
            </w:r>
            <w:r>
              <w:rPr>
                <w:rFonts w:hint="eastAsia" w:ascii="宋体" w:hAnsi="宋体" w:eastAsia="宋体" w:cs="宋体"/>
                <w:bCs/>
                <w:color w:val="000000"/>
                <w:sz w:val="24"/>
                <w:szCs w:val="24"/>
              </w:rPr>
              <w:t xml:space="preserve"> 2、存在上下游关系的参与集中的经营者，在上下游市场所占的市场份额均小于25%。</w:t>
            </w:r>
          </w:p>
        </w:tc>
      </w:tr>
      <w:tr w14:paraId="72C8E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1940" w:type="dxa"/>
            <w:vMerge w:val="continue"/>
            <w:shd w:val="clear" w:color="auto" w:fill="auto"/>
            <w:vAlign w:val="center"/>
          </w:tcPr>
          <w:p w14:paraId="15202857">
            <w:pPr>
              <w:pStyle w:val="3"/>
              <w:adjustRightInd w:val="0"/>
              <w:snapToGrid w:val="0"/>
              <w:spacing w:after="0"/>
              <w:jc w:val="center"/>
              <w:rPr>
                <w:rFonts w:hint="eastAsia" w:ascii="宋体" w:hAnsi="宋体" w:eastAsia="宋体" w:cs="宋体"/>
                <w:b w:val="0"/>
                <w:bCs/>
                <w:color w:val="000000"/>
                <w:sz w:val="24"/>
                <w:szCs w:val="24"/>
              </w:rPr>
            </w:pPr>
          </w:p>
        </w:tc>
        <w:tc>
          <w:tcPr>
            <w:tcW w:w="7700" w:type="dxa"/>
            <w:gridSpan w:val="2"/>
            <w:vAlign w:val="center"/>
          </w:tcPr>
          <w:p w14:paraId="35F6BBAB">
            <w:pPr>
              <w:pStyle w:val="3"/>
              <w:adjustRightInd w:val="0"/>
              <w:snapToGrid w:val="0"/>
              <w:spacing w:after="0"/>
              <w:rPr>
                <w:rFonts w:hint="eastAsia" w:ascii="宋体" w:hAnsi="宋体" w:eastAsia="宋体" w:cs="宋体"/>
                <w:bCs/>
                <w:color w:val="000000"/>
                <w:sz w:val="24"/>
                <w:szCs w:val="24"/>
              </w:rPr>
            </w:pPr>
            <w:r>
              <w:rPr>
                <w:rFonts w:hint="eastAsia" w:ascii="宋体" w:hAnsi="宋体" w:eastAsia="宋体" w:cs="宋体"/>
                <w:bCs/>
                <w:color w:val="000000"/>
                <w:sz w:val="24"/>
                <w:szCs w:val="24"/>
              </w:rPr>
              <w:sym w:font="Wingdings" w:char="00FE"/>
            </w:r>
            <w:r>
              <w:rPr>
                <w:rFonts w:hint="eastAsia" w:ascii="宋体" w:hAnsi="宋体" w:eastAsia="宋体" w:cs="宋体"/>
                <w:bCs/>
                <w:color w:val="000000"/>
                <w:sz w:val="24"/>
                <w:szCs w:val="24"/>
              </w:rPr>
              <w:t xml:space="preserve"> 3、不在同一相关市场、也不存在上下游关系的参与集中的经营者，在与交易有关的每个市场所占的份额均小于25%。</w:t>
            </w:r>
          </w:p>
        </w:tc>
      </w:tr>
      <w:tr w14:paraId="6F664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1940" w:type="dxa"/>
            <w:vMerge w:val="continue"/>
            <w:shd w:val="clear" w:color="auto" w:fill="auto"/>
            <w:vAlign w:val="center"/>
          </w:tcPr>
          <w:p w14:paraId="0F2E28D9">
            <w:pPr>
              <w:pStyle w:val="3"/>
              <w:adjustRightInd w:val="0"/>
              <w:snapToGrid w:val="0"/>
              <w:spacing w:after="0"/>
              <w:jc w:val="center"/>
              <w:rPr>
                <w:rFonts w:hint="eastAsia" w:ascii="宋体" w:hAnsi="宋体" w:eastAsia="宋体" w:cs="宋体"/>
                <w:b w:val="0"/>
                <w:bCs/>
                <w:color w:val="000000"/>
                <w:sz w:val="24"/>
                <w:szCs w:val="24"/>
              </w:rPr>
            </w:pPr>
          </w:p>
        </w:tc>
        <w:tc>
          <w:tcPr>
            <w:tcW w:w="7700" w:type="dxa"/>
            <w:gridSpan w:val="2"/>
            <w:vAlign w:val="center"/>
          </w:tcPr>
          <w:p w14:paraId="36B96C76">
            <w:pPr>
              <w:pStyle w:val="3"/>
              <w:adjustRightInd w:val="0"/>
              <w:snapToGrid w:val="0"/>
              <w:spacing w:after="0"/>
              <w:rPr>
                <w:rFonts w:hint="eastAsia" w:ascii="宋体" w:hAnsi="宋体" w:eastAsia="宋体" w:cs="宋体"/>
                <w:bCs/>
                <w:color w:val="000000"/>
                <w:sz w:val="24"/>
                <w:szCs w:val="24"/>
              </w:rPr>
            </w:pPr>
            <w:r>
              <w:rPr>
                <w:rFonts w:hint="eastAsia" w:ascii="宋体" w:hAnsi="宋体" w:eastAsia="宋体" w:cs="宋体"/>
                <w:bCs/>
                <w:color w:val="000000"/>
                <w:sz w:val="24"/>
                <w:szCs w:val="24"/>
              </w:rPr>
              <w:sym w:font="Wingdings" w:char="00A8"/>
            </w:r>
            <w:r>
              <w:rPr>
                <w:rFonts w:hint="eastAsia" w:ascii="宋体" w:hAnsi="宋体" w:eastAsia="宋体" w:cs="宋体"/>
                <w:bCs/>
                <w:color w:val="000000"/>
                <w:sz w:val="24"/>
                <w:szCs w:val="24"/>
              </w:rPr>
              <w:t xml:space="preserve"> 4、参与集中的经营者在中国境外设立合营企业，合营企业不在中国境内从事经济活动。</w:t>
            </w:r>
          </w:p>
        </w:tc>
      </w:tr>
      <w:tr w14:paraId="4424F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1940" w:type="dxa"/>
            <w:vMerge w:val="continue"/>
            <w:shd w:val="clear" w:color="auto" w:fill="auto"/>
            <w:vAlign w:val="center"/>
          </w:tcPr>
          <w:p w14:paraId="5767D8DD">
            <w:pPr>
              <w:pStyle w:val="3"/>
              <w:adjustRightInd w:val="0"/>
              <w:snapToGrid w:val="0"/>
              <w:spacing w:after="0"/>
              <w:jc w:val="center"/>
              <w:rPr>
                <w:rFonts w:hint="eastAsia" w:ascii="宋体" w:hAnsi="宋体" w:eastAsia="宋体" w:cs="宋体"/>
                <w:b w:val="0"/>
                <w:bCs/>
                <w:color w:val="000000"/>
                <w:sz w:val="24"/>
                <w:szCs w:val="24"/>
              </w:rPr>
            </w:pPr>
          </w:p>
        </w:tc>
        <w:tc>
          <w:tcPr>
            <w:tcW w:w="7700" w:type="dxa"/>
            <w:gridSpan w:val="2"/>
            <w:vAlign w:val="center"/>
          </w:tcPr>
          <w:p w14:paraId="1D8100B6">
            <w:pPr>
              <w:pStyle w:val="3"/>
              <w:adjustRightInd w:val="0"/>
              <w:snapToGrid w:val="0"/>
              <w:spacing w:after="0"/>
              <w:rPr>
                <w:rFonts w:hint="eastAsia" w:ascii="宋体" w:hAnsi="宋体" w:eastAsia="宋体" w:cs="宋体"/>
                <w:bCs/>
                <w:color w:val="000000"/>
                <w:sz w:val="24"/>
                <w:szCs w:val="24"/>
              </w:rPr>
            </w:pPr>
            <w:r>
              <w:rPr>
                <w:rFonts w:hint="eastAsia" w:ascii="宋体" w:hAnsi="宋体" w:eastAsia="宋体" w:cs="宋体"/>
                <w:bCs/>
                <w:color w:val="000000"/>
                <w:sz w:val="24"/>
                <w:szCs w:val="24"/>
              </w:rPr>
              <w:sym w:font="Wingdings" w:char="00A8"/>
            </w:r>
            <w:r>
              <w:rPr>
                <w:rFonts w:hint="eastAsia" w:ascii="宋体" w:hAnsi="宋体" w:eastAsia="宋体" w:cs="宋体"/>
                <w:bCs/>
                <w:color w:val="000000"/>
                <w:sz w:val="24"/>
                <w:szCs w:val="24"/>
              </w:rPr>
              <w:t xml:space="preserve"> 5、参与集中的经营者收购境外企业股权或资产的，该境外企业不在中国境内从事经济活动。</w:t>
            </w:r>
          </w:p>
        </w:tc>
      </w:tr>
      <w:tr w14:paraId="138C1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1940" w:type="dxa"/>
            <w:vMerge w:val="continue"/>
            <w:shd w:val="clear" w:color="auto" w:fill="auto"/>
            <w:vAlign w:val="center"/>
          </w:tcPr>
          <w:p w14:paraId="5B32D122">
            <w:pPr>
              <w:pStyle w:val="3"/>
              <w:adjustRightInd w:val="0"/>
              <w:snapToGrid w:val="0"/>
              <w:spacing w:after="0"/>
              <w:jc w:val="center"/>
              <w:rPr>
                <w:rFonts w:hint="eastAsia" w:ascii="宋体" w:hAnsi="宋体" w:eastAsia="宋体" w:cs="宋体"/>
                <w:b w:val="0"/>
                <w:bCs/>
                <w:color w:val="000000"/>
                <w:sz w:val="24"/>
                <w:szCs w:val="24"/>
              </w:rPr>
            </w:pPr>
          </w:p>
        </w:tc>
        <w:tc>
          <w:tcPr>
            <w:tcW w:w="7700" w:type="dxa"/>
            <w:gridSpan w:val="2"/>
            <w:vAlign w:val="center"/>
          </w:tcPr>
          <w:p w14:paraId="1E31D422">
            <w:pPr>
              <w:pStyle w:val="3"/>
              <w:adjustRightInd w:val="0"/>
              <w:snapToGrid w:val="0"/>
              <w:spacing w:after="0"/>
              <w:rPr>
                <w:rFonts w:hint="eastAsia" w:ascii="宋体" w:hAnsi="宋体" w:eastAsia="宋体" w:cs="宋体"/>
                <w:bCs/>
                <w:color w:val="000000"/>
                <w:sz w:val="24"/>
                <w:szCs w:val="24"/>
              </w:rPr>
            </w:pPr>
            <w:r>
              <w:rPr>
                <w:rFonts w:hint="eastAsia" w:ascii="宋体" w:hAnsi="宋体" w:eastAsia="宋体" w:cs="宋体"/>
                <w:bCs/>
                <w:color w:val="000000"/>
                <w:sz w:val="24"/>
                <w:szCs w:val="24"/>
              </w:rPr>
              <w:sym w:font="Wingdings" w:char="00A8"/>
            </w:r>
            <w:r>
              <w:rPr>
                <w:rFonts w:hint="eastAsia" w:ascii="宋体" w:hAnsi="宋体" w:eastAsia="宋体" w:cs="宋体"/>
                <w:bCs/>
                <w:color w:val="000000"/>
                <w:sz w:val="24"/>
                <w:szCs w:val="24"/>
              </w:rPr>
              <w:t xml:space="preserve"> 6、由两个以上的经营者共同控制的合营企业，通过集中被其中一个或一个以上经营者控制。</w:t>
            </w:r>
          </w:p>
        </w:tc>
      </w:tr>
      <w:tr w14:paraId="76F2F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9" w:hRule="atLeast"/>
          <w:jc w:val="center"/>
        </w:trPr>
        <w:tc>
          <w:tcPr>
            <w:tcW w:w="1940" w:type="dxa"/>
            <w:shd w:val="clear" w:color="auto" w:fill="auto"/>
            <w:vAlign w:val="center"/>
          </w:tcPr>
          <w:p w14:paraId="31603611">
            <w:pPr>
              <w:pStyle w:val="3"/>
              <w:adjustRightInd w:val="0"/>
              <w:snapToGrid w:val="0"/>
              <w:spacing w:after="0"/>
              <w:jc w:val="center"/>
              <w:rPr>
                <w:rFonts w:hint="eastAsia" w:ascii="宋体" w:hAnsi="宋体" w:eastAsia="宋体" w:cs="宋体"/>
                <w:b w:val="0"/>
                <w:bCs/>
                <w:color w:val="000000"/>
                <w:sz w:val="24"/>
                <w:szCs w:val="24"/>
              </w:rPr>
            </w:pPr>
            <w:r>
              <w:rPr>
                <w:rFonts w:hint="eastAsia" w:ascii="宋体" w:hAnsi="宋体" w:eastAsia="宋体" w:cs="宋体"/>
                <w:b w:val="0"/>
                <w:bCs/>
                <w:color w:val="000000"/>
                <w:sz w:val="24"/>
                <w:szCs w:val="24"/>
              </w:rPr>
              <w:t>备注</w:t>
            </w:r>
          </w:p>
        </w:tc>
        <w:tc>
          <w:tcPr>
            <w:tcW w:w="7700" w:type="dxa"/>
            <w:gridSpan w:val="2"/>
            <w:vAlign w:val="center"/>
          </w:tcPr>
          <w:p w14:paraId="1B1B9D74">
            <w:pPr>
              <w:pStyle w:val="3"/>
              <w:adjustRightInd w:val="0"/>
              <w:snapToGrid w:val="0"/>
              <w:spacing w:after="0"/>
              <w:rPr>
                <w:rFonts w:hint="eastAsia" w:ascii="宋体" w:hAnsi="宋体" w:eastAsia="宋体" w:cs="宋体"/>
                <w:b/>
                <w:bCs w:val="0"/>
                <w:color w:val="000000"/>
                <w:sz w:val="24"/>
                <w:szCs w:val="24"/>
                <w:lang w:eastAsia="zh-CN"/>
              </w:rPr>
            </w:pPr>
            <w:r>
              <w:rPr>
                <w:rFonts w:hint="eastAsia" w:ascii="宋体" w:hAnsi="宋体" w:eastAsia="宋体" w:cs="宋体"/>
                <w:b/>
                <w:bCs w:val="0"/>
                <w:color w:val="000000"/>
                <w:sz w:val="24"/>
                <w:szCs w:val="24"/>
                <w:lang w:val="en-US" w:eastAsia="zh-CN"/>
              </w:rPr>
              <w:t>混合重叠</w:t>
            </w:r>
            <w:r>
              <w:rPr>
                <w:rFonts w:hint="eastAsia" w:ascii="宋体" w:hAnsi="宋体" w:eastAsia="宋体" w:cs="宋体"/>
                <w:b/>
                <w:bCs w:val="0"/>
                <w:color w:val="000000"/>
                <w:sz w:val="24"/>
                <w:szCs w:val="24"/>
                <w:lang w:eastAsia="zh-CN"/>
              </w:rPr>
              <w:t>：</w:t>
            </w:r>
          </w:p>
          <w:p w14:paraId="555D6ABE">
            <w:pPr>
              <w:pStyle w:val="3"/>
              <w:adjustRightInd w:val="0"/>
              <w:snapToGrid w:val="0"/>
              <w:spacing w:after="0"/>
              <w:rPr>
                <w:rFonts w:hint="eastAsia" w:ascii="宋体" w:hAnsi="宋体" w:eastAsia="宋体" w:cs="宋体"/>
                <w:b w:val="0"/>
                <w:bCs/>
                <w:color w:val="000000"/>
                <w:sz w:val="24"/>
                <w:szCs w:val="24"/>
                <w:lang w:eastAsia="zh-CN"/>
              </w:rPr>
            </w:pPr>
            <w:r>
              <w:rPr>
                <w:rFonts w:hint="eastAsia" w:ascii="宋体" w:hAnsi="宋体" w:eastAsia="宋体" w:cs="宋体"/>
                <w:b w:val="0"/>
                <w:bCs/>
                <w:color w:val="000000"/>
                <w:sz w:val="24"/>
                <w:szCs w:val="24"/>
                <w:lang w:eastAsia="zh-CN"/>
              </w:rPr>
              <w:t>2023年中国境内汽车内饰件市场</w:t>
            </w:r>
          </w:p>
          <w:p w14:paraId="520F834F">
            <w:pPr>
              <w:pStyle w:val="3"/>
              <w:adjustRightInd w:val="0"/>
              <w:snapToGrid w:val="0"/>
              <w:spacing w:after="0"/>
              <w:rPr>
                <w:rFonts w:hint="eastAsia" w:ascii="宋体" w:hAnsi="宋体" w:eastAsia="宋体" w:cs="宋体"/>
                <w:b w:val="0"/>
                <w:bCs/>
                <w:color w:val="000000"/>
                <w:sz w:val="24"/>
                <w:szCs w:val="24"/>
                <w:lang w:eastAsia="zh-CN"/>
              </w:rPr>
            </w:pPr>
            <w:r>
              <w:rPr>
                <w:rFonts w:hint="eastAsia" w:ascii="宋体" w:hAnsi="宋体" w:eastAsia="宋体" w:cs="宋体"/>
                <w:b w:val="0"/>
                <w:bCs/>
                <w:color w:val="000000"/>
                <w:sz w:val="24"/>
                <w:szCs w:val="24"/>
                <w:lang w:eastAsia="zh-CN"/>
              </w:rPr>
              <w:t>香山股份：0-5%</w:t>
            </w:r>
          </w:p>
          <w:p w14:paraId="721BF888">
            <w:pPr>
              <w:pStyle w:val="3"/>
              <w:adjustRightInd w:val="0"/>
              <w:snapToGrid w:val="0"/>
              <w:spacing w:after="0"/>
              <w:rPr>
                <w:rFonts w:hint="eastAsia" w:ascii="宋体" w:hAnsi="宋体" w:eastAsia="宋体" w:cs="宋体"/>
                <w:b w:val="0"/>
                <w:bCs/>
                <w:color w:val="000000"/>
                <w:sz w:val="24"/>
                <w:szCs w:val="24"/>
                <w:lang w:eastAsia="zh-CN"/>
              </w:rPr>
            </w:pPr>
          </w:p>
          <w:p w14:paraId="635BA769">
            <w:pPr>
              <w:pStyle w:val="3"/>
              <w:adjustRightInd w:val="0"/>
              <w:snapToGrid w:val="0"/>
              <w:spacing w:after="0"/>
              <w:rPr>
                <w:rFonts w:hint="eastAsia" w:ascii="宋体" w:hAnsi="宋体" w:eastAsia="宋体" w:cs="宋体"/>
                <w:b w:val="0"/>
                <w:bCs/>
                <w:color w:val="000000"/>
                <w:sz w:val="24"/>
                <w:szCs w:val="24"/>
                <w:lang w:eastAsia="zh-CN"/>
              </w:rPr>
            </w:pPr>
            <w:r>
              <w:rPr>
                <w:rFonts w:hint="eastAsia" w:ascii="宋体" w:hAnsi="宋体" w:eastAsia="宋体" w:cs="宋体"/>
                <w:b w:val="0"/>
                <w:bCs/>
                <w:color w:val="000000"/>
                <w:sz w:val="24"/>
                <w:szCs w:val="24"/>
                <w:lang w:eastAsia="zh-CN"/>
              </w:rPr>
              <w:t>2023年中国境内汽车出风口市场</w:t>
            </w:r>
          </w:p>
          <w:p w14:paraId="203F344D">
            <w:pPr>
              <w:pStyle w:val="3"/>
              <w:adjustRightInd w:val="0"/>
              <w:snapToGrid w:val="0"/>
              <w:spacing w:after="0"/>
              <w:rPr>
                <w:rFonts w:hint="eastAsia" w:ascii="宋体" w:hAnsi="宋体" w:eastAsia="宋体" w:cs="宋体"/>
                <w:bCs/>
                <w:color w:val="000000"/>
                <w:sz w:val="24"/>
                <w:szCs w:val="24"/>
              </w:rPr>
            </w:pPr>
            <w:r>
              <w:rPr>
                <w:rFonts w:hint="eastAsia" w:ascii="宋体" w:hAnsi="宋体" w:eastAsia="宋体" w:cs="宋体"/>
                <w:b w:val="0"/>
                <w:bCs/>
                <w:color w:val="000000"/>
                <w:sz w:val="24"/>
                <w:szCs w:val="24"/>
                <w:lang w:eastAsia="zh-CN"/>
              </w:rPr>
              <w:t>香山股份：10-20%</w:t>
            </w:r>
          </w:p>
        </w:tc>
      </w:tr>
    </w:tbl>
    <w:p w14:paraId="4D885E0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jM2VkZWUwYjdkZDYzZGY2NmZiZGNiZGIyMjFjYWIifQ=="/>
  </w:docVars>
  <w:rsids>
    <w:rsidRoot w:val="05E148D6"/>
    <w:rsid w:val="05E148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99"/>
  </w:style>
  <w:style w:type="paragraph" w:styleId="3">
    <w:name w:val="Body Text"/>
    <w:basedOn w:val="1"/>
    <w:next w:val="4"/>
    <w:unhideWhenUsed/>
    <w:qFormat/>
    <w:uiPriority w:val="99"/>
    <w:pPr>
      <w:spacing w:after="120"/>
    </w:pPr>
  </w:style>
  <w:style w:type="paragraph" w:styleId="4">
    <w:name w:val="Body Text First Indent"/>
    <w:basedOn w:val="3"/>
    <w:qFormat/>
    <w:uiPriority w:val="0"/>
    <w:pPr>
      <w:ind w:firstLine="420" w:firstLineChars="1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省市场监督管理局</Company>
  <Pages>1</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2024-11-05T01:30:00Z</dcterms:created>
  <dc:creator>胡翌婧</dc:creator>
  <cp:lastModifiedBy>胡翌婧</cp:lastModifiedBy>
  <dcterms:modified xsi:type="dcterms:W3CDTF">2024-11-05T01:30:11Z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678AFADDA4B3436ABEEE9AB5A1201C7D_11</vt:lpwstr>
  </property>
</Properties>
</file>