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6E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/>
        <w:jc w:val="center"/>
        <w:textAlignment w:val="auto"/>
        <w:rPr>
          <w:rFonts w:eastAsia="黑体" w:cs="黑体"/>
          <w:bCs/>
          <w:sz w:val="36"/>
          <w:szCs w:val="36"/>
        </w:rPr>
      </w:pPr>
      <w:bookmarkStart w:id="0" w:name="_GoBack"/>
      <w:r>
        <w:rPr>
          <w:rFonts w:hint="eastAsia" w:eastAsia="黑体" w:cs="黑体"/>
          <w:bCs/>
          <w:sz w:val="36"/>
          <w:szCs w:val="36"/>
        </w:rPr>
        <w:t>经营者集中简易案件公示表</w:t>
      </w:r>
    </w:p>
    <w:bookmarkEnd w:id="0"/>
    <w:tbl>
      <w:tblPr>
        <w:tblStyle w:val="5"/>
        <w:tblW w:w="895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5405"/>
      </w:tblGrid>
      <w:tr w14:paraId="7049B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40" w:type="dxa"/>
            <w:shd w:val="clear" w:color="auto" w:fill="D9D9D9"/>
            <w:vAlign w:val="center"/>
          </w:tcPr>
          <w:p w14:paraId="01FF945B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</w:rPr>
              <w:t>案件名称</w:t>
            </w:r>
          </w:p>
        </w:tc>
        <w:tc>
          <w:tcPr>
            <w:tcW w:w="7012" w:type="dxa"/>
            <w:gridSpan w:val="2"/>
            <w:vAlign w:val="center"/>
          </w:tcPr>
          <w:p w14:paraId="0A74903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  <w:lang w:val="en-US"/>
              </w:rPr>
              <w:t>立讯精密工业股份有限公司收购莱尼股份有限公司股权案</w:t>
            </w:r>
          </w:p>
        </w:tc>
      </w:tr>
      <w:tr w14:paraId="3EAAB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940" w:type="dxa"/>
            <w:shd w:val="clear" w:color="auto" w:fill="D9D9D9"/>
            <w:vAlign w:val="center"/>
          </w:tcPr>
          <w:p w14:paraId="02BE31F9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>交易概况（限200字内）</w:t>
            </w:r>
          </w:p>
        </w:tc>
        <w:tc>
          <w:tcPr>
            <w:tcW w:w="7012" w:type="dxa"/>
            <w:gridSpan w:val="2"/>
            <w:vAlign w:val="center"/>
          </w:tcPr>
          <w:p w14:paraId="72F4FC18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立讯精密工业股份有限公司（“立讯精密”）和斯蒂芬·皮耶尔（“皮耶尔先生”）通过关联公司签署协议，立讯精密将间接获得莱尼股份有限公司（“莱尼”）50.1%的股权。交易前，莱尼由皮耶尔先生间接全资持有并单独控制。交易后，立讯精密和皮耶尔先生将分别间接持有莱尼50.1%和49.9%的股权，并共同控制莱尼。</w:t>
            </w:r>
          </w:p>
        </w:tc>
      </w:tr>
      <w:tr w14:paraId="52867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68F72B4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>参与集中的经营者简介（每个限</w:t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  <w:t>100字以内</w:t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2252E5DF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>立讯精密</w:t>
            </w:r>
          </w:p>
        </w:tc>
        <w:tc>
          <w:tcPr>
            <w:tcW w:w="5405" w:type="dxa"/>
            <w:vAlign w:val="center"/>
          </w:tcPr>
          <w:p w14:paraId="0988C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立讯精密于2004年5月24日成立于广东省深圳市，为深圳证券交易所上市公司。立讯精密主要业务为研发、制造及销售各种零件、模组和系统，产品主要服务于消费电子、通信及数据中心、汽车电子和医疗等领域。</w:t>
            </w:r>
          </w:p>
          <w:p w14:paraId="443D611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 w:bidi="ar-SA"/>
              </w:rPr>
              <w:t>立讯精密的最终控制人为自然人，其通过立讯精密开展上述业务。</w:t>
            </w:r>
          </w:p>
        </w:tc>
      </w:tr>
      <w:tr w14:paraId="6C72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183F280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28FF048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cs="Times New Roman"/>
                <w:sz w:val="24"/>
                <w:szCs w:val="24"/>
              </w:rPr>
              <w:t xml:space="preserve"> 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eastAsia="zh-CN"/>
              </w:rPr>
              <w:t>皮耶尔先生</w:t>
            </w:r>
          </w:p>
        </w:tc>
        <w:tc>
          <w:tcPr>
            <w:tcW w:w="5405" w:type="dxa"/>
            <w:vAlign w:val="center"/>
          </w:tcPr>
          <w:p w14:paraId="2D86D3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bidi="ar-SA"/>
              </w:rPr>
              <w:t>皮耶尔先生是一名奥地利籍的企业家。皮耶尔先生主要通过皮耶尔工业股份有限公司开展业务，后者从事摩托车和其他电动两轮车（即站立式滑板车）以及电动两轮车部件的生产和经销业务；电动自行车的组装和经销业务；赛车、豪华汽车和航空动态组件的高科技机械系统的开发、生产、维护和经销业务；以及低碳刹车、泵和发动机部件的生产业务。</w:t>
            </w:r>
          </w:p>
        </w:tc>
      </w:tr>
      <w:tr w14:paraId="574C1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845D87B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>简易案件理由（可以单选，也可以多选）</w:t>
            </w:r>
          </w:p>
        </w:tc>
        <w:tc>
          <w:tcPr>
            <w:tcW w:w="7012" w:type="dxa"/>
            <w:gridSpan w:val="2"/>
            <w:vAlign w:val="center"/>
          </w:tcPr>
          <w:p w14:paraId="0E18F809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sz w:val="24"/>
                <w:szCs w:val="24"/>
              </w:rPr>
              <w:sym w:font="Wingdings" w:char="F0FE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14:paraId="79A17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4DED5208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12" w:type="dxa"/>
            <w:gridSpan w:val="2"/>
            <w:vAlign w:val="center"/>
          </w:tcPr>
          <w:p w14:paraId="1E4217FE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sz w:val="24"/>
                <w:szCs w:val="24"/>
              </w:rPr>
              <w:sym w:font="Wingdings" w:char="00A8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14:paraId="7A4EF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214506B6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12" w:type="dxa"/>
            <w:gridSpan w:val="2"/>
            <w:vAlign w:val="center"/>
          </w:tcPr>
          <w:p w14:paraId="1ED19A8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43CCB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887EE7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12" w:type="dxa"/>
            <w:gridSpan w:val="2"/>
            <w:vAlign w:val="center"/>
          </w:tcPr>
          <w:p w14:paraId="486D1BE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08E1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16BD198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12" w:type="dxa"/>
            <w:gridSpan w:val="2"/>
            <w:vAlign w:val="center"/>
          </w:tcPr>
          <w:p w14:paraId="53B1370B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382C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4832113B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12" w:type="dxa"/>
            <w:gridSpan w:val="2"/>
            <w:vAlign w:val="center"/>
          </w:tcPr>
          <w:p w14:paraId="7CCE8033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default" w:cs="Times New Roman"/>
                <w:bCs/>
                <w:color w:val="000000"/>
                <w:sz w:val="24"/>
                <w:szCs w:val="24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0D202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940" w:type="dxa"/>
            <w:shd w:val="clear" w:color="auto" w:fill="D9D9D9"/>
            <w:vAlign w:val="center"/>
          </w:tcPr>
          <w:p w14:paraId="4F9BE8D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cs="Times New Roman"/>
                <w:bCs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012" w:type="dxa"/>
            <w:gridSpan w:val="2"/>
            <w:vAlign w:val="center"/>
          </w:tcPr>
          <w:p w14:paraId="1F905019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/>
                <w:color w:val="000000"/>
                <w:sz w:val="24"/>
                <w:szCs w:val="24"/>
                <w:lang w:eastAsia="zh-CN"/>
              </w:rPr>
              <w:t>横向重叠：</w:t>
            </w:r>
          </w:p>
          <w:p w14:paraId="32098D1D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cs="Times New Roman"/>
                <w:sz w:val="24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sz w:val="24"/>
                <w:szCs w:val="24"/>
                <w:lang w:val="en-US" w:eastAsia="zh-CN" w:bidi="ar-SA"/>
              </w:rPr>
              <w:t>3年中国汽车线束系统市场：</w:t>
            </w:r>
          </w:p>
          <w:p w14:paraId="3A2C0B5D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Times New Roman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 w:bidi="ar-SA"/>
              </w:rPr>
              <w:t>立讯精密：</w:t>
            </w:r>
            <w:r>
              <w:rPr>
                <w:rFonts w:hint="default" w:cs="Times New Roman"/>
                <w:sz w:val="24"/>
                <w:szCs w:val="24"/>
                <w:lang w:val="en-US" w:eastAsia="zh-CN" w:bidi="ar-SA"/>
              </w:rPr>
              <w:t>0-5%</w:t>
            </w:r>
            <w:r>
              <w:rPr>
                <w:rFonts w:hint="eastAsia" w:cs="Times New Roman"/>
                <w:sz w:val="24"/>
                <w:szCs w:val="24"/>
                <w:lang w:val="en-US" w:eastAsia="zh-CN" w:bidi="ar-SA"/>
              </w:rPr>
              <w:t>，莱尼：</w:t>
            </w:r>
            <w:r>
              <w:rPr>
                <w:rFonts w:hint="default" w:cs="Times New Roman"/>
                <w:sz w:val="24"/>
                <w:szCs w:val="24"/>
                <w:lang w:val="en-US" w:eastAsia="zh-CN" w:bidi="ar-SA"/>
              </w:rPr>
              <w:t>0-5%</w:t>
            </w:r>
            <w:r>
              <w:rPr>
                <w:rFonts w:hint="eastAsia" w:cs="Times New Roman"/>
                <w:sz w:val="24"/>
                <w:szCs w:val="24"/>
                <w:lang w:val="en-US" w:eastAsia="zh-CN" w:bidi="ar-SA"/>
              </w:rPr>
              <w:t>，双方合计：</w:t>
            </w:r>
            <w:r>
              <w:rPr>
                <w:rFonts w:hint="default" w:cs="Times New Roman"/>
                <w:sz w:val="24"/>
                <w:szCs w:val="24"/>
                <w:lang w:val="en-US" w:eastAsia="zh-CN" w:bidi="ar-SA"/>
              </w:rPr>
              <w:t>5-10%</w:t>
            </w:r>
          </w:p>
        </w:tc>
      </w:tr>
    </w:tbl>
    <w:p w14:paraId="41B17F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93E49"/>
    <w:rsid w:val="7999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paragraph" w:customStyle="1" w:styleId="7">
    <w:name w:val="Table Paragraph"/>
    <w:basedOn w:val="1"/>
    <w:qFormat/>
    <w:uiPriority w:val="1"/>
    <w:pPr>
      <w:widowControl w:val="0"/>
      <w:autoSpaceDE w:val="0"/>
      <w:autoSpaceDN w:val="0"/>
      <w:spacing w:after="0"/>
      <w:jc w:val="left"/>
    </w:pPr>
    <w:rPr>
      <w:rFonts w:ascii="微软雅黑" w:hAnsi="微软雅黑" w:eastAsia="微软雅黑" w:cs="微软雅黑"/>
      <w:sz w:val="22"/>
      <w:szCs w:val="2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2024-12-06T08:55:00Z</dcterms:created>
  <dc:creator>胡翌婧</dc:creator>
  <cp:lastModifiedBy>胡翌婧</cp:lastModifiedBy>
  <dcterms:modified xsi:type="dcterms:W3CDTF">2024-12-06T08:55:17Z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A925276241394FFE8D5986AEB7832DC1_11</vt:lpwstr>
  </property>
</Properties>
</file>