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E80C0C" w14:textId="76A53279" w:rsidR="00AB1591" w:rsidRDefault="00AB1591" w:rsidP="00AB1591">
      <w:pPr>
        <w:spacing w:line="360" w:lineRule="auto"/>
        <w:jc w:val="center"/>
        <w:rPr>
          <w:rFonts w:ascii="SimHei" w:eastAsia="SimHei" w:hAnsi="SimHei" w:cs="SimHei"/>
          <w:bCs/>
          <w:sz w:val="36"/>
          <w:szCs w:val="36"/>
        </w:rPr>
      </w:pPr>
      <w:r>
        <w:rPr>
          <w:rFonts w:ascii="SimHei" w:eastAsia="SimHei" w:hAnsi="SimHei" w:cs="SimHei" w:hint="eastAsia"/>
          <w:bCs/>
          <w:sz w:val="36"/>
          <w:szCs w:val="36"/>
        </w:rPr>
        <w:t>经营者集中简易案件公示表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61"/>
        <w:gridCol w:w="1796"/>
        <w:gridCol w:w="5783"/>
      </w:tblGrid>
      <w:tr w:rsidR="00AB1591" w14:paraId="2582B65E" w14:textId="77777777" w:rsidTr="00D758F5">
        <w:trPr>
          <w:trHeight w:val="926"/>
          <w:jc w:val="center"/>
        </w:trPr>
        <w:tc>
          <w:tcPr>
            <w:tcW w:w="2061" w:type="dxa"/>
            <w:shd w:val="clear" w:color="auto" w:fill="D9D9D9"/>
            <w:vAlign w:val="center"/>
          </w:tcPr>
          <w:p w14:paraId="02098584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/>
              </w:rPr>
            </w:pPr>
            <w:proofErr w:type="spellStart"/>
            <w:r>
              <w:rPr>
                <w:rFonts w:ascii="SimSun" w:hAnsi="SimSun" w:cs="SimSun" w:hint="eastAsia"/>
                <w:bCs/>
                <w:color w:val="000000"/>
              </w:rPr>
              <w:t>案件名称</w:t>
            </w:r>
            <w:proofErr w:type="spellEnd"/>
          </w:p>
        </w:tc>
        <w:tc>
          <w:tcPr>
            <w:tcW w:w="7579" w:type="dxa"/>
            <w:gridSpan w:val="2"/>
            <w:vAlign w:val="center"/>
          </w:tcPr>
          <w:p w14:paraId="4253D798" w14:textId="75F5B54C" w:rsidR="00AB1591" w:rsidRPr="00D210DE" w:rsidRDefault="00D254F9" w:rsidP="00D758F5">
            <w:pPr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/>
              </w:rPr>
            </w:pPr>
            <w:r>
              <w:rPr>
                <w:rFonts w:ascii="SimSun" w:hAnsi="SimSun" w:cs="SimSun" w:hint="eastAsia"/>
                <w:bCs/>
                <w:color w:val="000000"/>
                <w:lang w:val="en-US"/>
              </w:rPr>
              <w:t>力拓西部控股</w:t>
            </w:r>
            <w:r w:rsidR="006F09AF" w:rsidRPr="006F09AF">
              <w:rPr>
                <w:rFonts w:ascii="SimSun" w:hAnsi="SimSun" w:cs="SimSun" w:hint="eastAsia"/>
                <w:bCs/>
                <w:color w:val="000000"/>
                <w:lang w:val="en-US"/>
              </w:rPr>
              <w:t>有限公司收购Arcadium Lithium plc股权案</w:t>
            </w:r>
          </w:p>
        </w:tc>
      </w:tr>
      <w:tr w:rsidR="00AB1591" w14:paraId="7EA7C63F" w14:textId="77777777" w:rsidTr="00D758F5">
        <w:trPr>
          <w:trHeight w:val="1391"/>
          <w:jc w:val="center"/>
        </w:trPr>
        <w:tc>
          <w:tcPr>
            <w:tcW w:w="2061" w:type="dxa"/>
            <w:shd w:val="clear" w:color="auto" w:fill="D9D9D9"/>
            <w:vAlign w:val="center"/>
          </w:tcPr>
          <w:p w14:paraId="229AFDF4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579" w:type="dxa"/>
            <w:gridSpan w:val="2"/>
            <w:vAlign w:val="center"/>
          </w:tcPr>
          <w:p w14:paraId="2F377C49" w14:textId="6EA535F2" w:rsidR="00205FC3" w:rsidRDefault="00D254F9" w:rsidP="0066046E">
            <w:pPr>
              <w:widowControl w:val="0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</w:rPr>
            </w:pPr>
            <w:r>
              <w:rPr>
                <w:rFonts w:ascii="SimSun" w:hAnsi="SimSun" w:cs="SimSun" w:hint="eastAsia"/>
                <w:bCs/>
                <w:color w:val="000000"/>
                <w:lang w:val="en-US"/>
              </w:rPr>
              <w:t>力拓西部控股</w:t>
            </w:r>
            <w:r w:rsidR="006F09AF" w:rsidRPr="006F09AF">
              <w:rPr>
                <w:rFonts w:ascii="SimSun" w:hAnsi="SimSun" w:cs="SimSun" w:hint="eastAsia"/>
                <w:bCs/>
                <w:color w:val="000000"/>
                <w:lang w:val="en-US"/>
              </w:rPr>
              <w:t>有限公司</w:t>
            </w:r>
            <w:r w:rsidR="006F09AF">
              <w:rPr>
                <w:rFonts w:ascii="SimSun" w:hAnsi="SimSun" w:cs="SimSun" w:hint="eastAsia"/>
                <w:bCs/>
                <w:color w:val="000000"/>
                <w:lang w:val="en-US"/>
              </w:rPr>
              <w:t>（“</w:t>
            </w:r>
            <w:r>
              <w:rPr>
                <w:rFonts w:ascii="SimSun" w:hAnsi="SimSun" w:cs="SimSun" w:hint="eastAsia"/>
                <w:bCs/>
                <w:color w:val="000000"/>
                <w:lang w:val="en-US"/>
              </w:rPr>
              <w:t>力拓西部控股</w:t>
            </w:r>
            <w:r w:rsidR="006F09AF">
              <w:rPr>
                <w:rFonts w:ascii="SimSun" w:hAnsi="SimSun" w:cs="SimSun" w:hint="eastAsia"/>
                <w:bCs/>
                <w:color w:val="000000"/>
                <w:lang w:val="en-US"/>
              </w:rPr>
              <w:t>”）（其本身及通过其全资子公司）与</w:t>
            </w:r>
            <w:r w:rsidR="006F09AF" w:rsidRPr="006F09AF">
              <w:rPr>
                <w:rFonts w:ascii="SimSun" w:hAnsi="SimSun" w:cs="SimSun" w:hint="eastAsia"/>
                <w:bCs/>
                <w:color w:val="000000"/>
                <w:lang w:val="en-US"/>
              </w:rPr>
              <w:t>Arcadium Lithium plc</w:t>
            </w:r>
            <w:r w:rsidR="000C3FEA">
              <w:rPr>
                <w:rFonts w:ascii="SimSun" w:hAnsi="SimSun" w:cs="SimSun" w:hint="eastAsia"/>
                <w:bCs/>
                <w:color w:val="000000"/>
                <w:lang w:val="en-US"/>
              </w:rPr>
              <w:t>（</w:t>
            </w:r>
            <w:r w:rsidR="0064556F">
              <w:rPr>
                <w:rFonts w:ascii="SimSun" w:hAnsi="SimSun" w:cs="SimSun" w:hint="eastAsia"/>
                <w:bCs/>
                <w:color w:val="000000"/>
                <w:lang w:val="en-US"/>
              </w:rPr>
              <w:t>“</w:t>
            </w:r>
            <w:r w:rsidR="000C3FEA">
              <w:rPr>
                <w:rFonts w:ascii="SimSun" w:hAnsi="SimSun" w:cs="SimSun" w:hint="eastAsia"/>
                <w:bCs/>
                <w:color w:val="000000"/>
                <w:lang w:val="en-US"/>
              </w:rPr>
              <w:t>Arcadium</w:t>
            </w:r>
            <w:r w:rsidR="0064556F">
              <w:rPr>
                <w:rFonts w:ascii="SimSun" w:hAnsi="SimSun" w:cs="SimSun" w:hint="eastAsia"/>
                <w:bCs/>
                <w:color w:val="000000"/>
                <w:lang w:val="en-US"/>
              </w:rPr>
              <w:t>”</w:t>
            </w:r>
            <w:r w:rsidR="000C3FEA">
              <w:rPr>
                <w:rFonts w:ascii="SimSun" w:hAnsi="SimSun" w:cs="SimSun" w:hint="eastAsia"/>
                <w:bCs/>
                <w:color w:val="000000"/>
                <w:lang w:val="en-US"/>
              </w:rPr>
              <w:t>）</w:t>
            </w:r>
            <w:r w:rsidR="006F09AF">
              <w:rPr>
                <w:rFonts w:ascii="SimSun" w:hAnsi="SimSun" w:cs="SimSun" w:hint="eastAsia"/>
                <w:bCs/>
                <w:color w:val="000000"/>
                <w:lang w:val="en-US"/>
              </w:rPr>
              <w:t>签署协议，根据</w:t>
            </w:r>
            <w:r w:rsidR="000C3FEA">
              <w:rPr>
                <w:rFonts w:ascii="SimSun" w:hAnsi="SimSun" w:cs="SimSun" w:hint="eastAsia"/>
                <w:bCs/>
                <w:color w:val="000000"/>
                <w:lang w:val="en-US"/>
              </w:rPr>
              <w:t>该协议，</w:t>
            </w:r>
            <w:r>
              <w:rPr>
                <w:rFonts w:ascii="SimSun" w:hAnsi="SimSun" w:cs="SimSun" w:hint="eastAsia"/>
                <w:bCs/>
                <w:color w:val="000000"/>
                <w:lang w:val="en-US"/>
              </w:rPr>
              <w:t>力拓西部控股</w:t>
            </w:r>
            <w:r w:rsidR="000C3FEA">
              <w:rPr>
                <w:rFonts w:ascii="SimSun" w:hAnsi="SimSun" w:cs="SimSun" w:hint="eastAsia"/>
                <w:bCs/>
                <w:color w:val="000000"/>
                <w:lang w:val="en-US"/>
              </w:rPr>
              <w:t>（通过其全资子公司）将</w:t>
            </w:r>
            <w:r w:rsidR="00205FC3">
              <w:rPr>
                <w:rFonts w:ascii="SimSun" w:hAnsi="SimSun" w:cs="SimSun" w:hint="eastAsia"/>
                <w:bCs/>
                <w:color w:val="000000"/>
                <w:lang w:val="en-US"/>
              </w:rPr>
              <w:t>从Arcadium的股东</w:t>
            </w:r>
            <w:proofErr w:type="gramStart"/>
            <w:r w:rsidR="00205FC3">
              <w:rPr>
                <w:rFonts w:ascii="SimSun" w:hAnsi="SimSun" w:cs="SimSun" w:hint="eastAsia"/>
                <w:bCs/>
                <w:color w:val="000000"/>
                <w:lang w:val="en-US"/>
              </w:rPr>
              <w:t>处</w:t>
            </w:r>
            <w:r w:rsidR="000C3FEA">
              <w:rPr>
                <w:rFonts w:ascii="SimSun" w:hAnsi="SimSun" w:cs="SimSun" w:hint="eastAsia"/>
                <w:bCs/>
                <w:color w:val="000000"/>
                <w:lang w:val="en-US"/>
              </w:rPr>
              <w:t>收购</w:t>
            </w:r>
            <w:proofErr w:type="gramEnd"/>
            <w:r w:rsidR="000C3FEA">
              <w:rPr>
                <w:rFonts w:ascii="SimSun" w:hAnsi="SimSun" w:cs="SimSun" w:hint="eastAsia"/>
                <w:bCs/>
                <w:color w:val="000000"/>
                <w:lang w:val="en-US"/>
              </w:rPr>
              <w:t>Arcadium</w:t>
            </w:r>
            <w:r w:rsidR="00205FC3">
              <w:rPr>
                <w:rFonts w:ascii="SimSun" w:hAnsi="SimSun" w:cs="SimSun" w:hint="eastAsia"/>
                <w:bCs/>
                <w:color w:val="000000"/>
                <w:lang w:val="en-US"/>
              </w:rPr>
              <w:t>全部股权（“本交易”）。Arcadium主要</w:t>
            </w:r>
            <w:r w:rsidR="000E733E">
              <w:rPr>
                <w:rFonts w:ascii="SimSun" w:hAnsi="SimSun" w:cs="SimSun" w:hint="eastAsia"/>
                <w:bCs/>
                <w:color w:val="000000"/>
                <w:lang w:val="en-US"/>
              </w:rPr>
              <w:t>从</w:t>
            </w:r>
            <w:r w:rsidR="00205FC3" w:rsidRPr="00205FC3">
              <w:rPr>
                <w:rFonts w:ascii="SimSun" w:hAnsi="SimSun" w:cs="SimSun" w:hint="eastAsia"/>
                <w:bCs/>
                <w:color w:val="000000"/>
              </w:rPr>
              <w:t>事锂矿开采以及</w:t>
            </w:r>
            <w:proofErr w:type="gramStart"/>
            <w:r w:rsidR="00205FC3" w:rsidRPr="00205FC3">
              <w:rPr>
                <w:rFonts w:ascii="SimSun" w:hAnsi="SimSun" w:cs="SimSun" w:hint="eastAsia"/>
                <w:bCs/>
                <w:color w:val="000000"/>
              </w:rPr>
              <w:t>锂</w:t>
            </w:r>
            <w:proofErr w:type="gramEnd"/>
            <w:r w:rsidR="00BF3948" w:rsidRPr="00205FC3">
              <w:rPr>
                <w:rFonts w:ascii="SimSun" w:hAnsi="SimSun" w:cs="SimSun" w:hint="eastAsia"/>
                <w:bCs/>
                <w:color w:val="000000"/>
              </w:rPr>
              <w:t>加工</w:t>
            </w:r>
            <w:r w:rsidR="00205FC3" w:rsidRPr="00205FC3">
              <w:rPr>
                <w:rFonts w:ascii="SimSun" w:hAnsi="SimSun" w:cs="SimSun" w:hint="eastAsia"/>
                <w:bCs/>
                <w:color w:val="000000"/>
              </w:rPr>
              <w:t>产品的生产和供应。</w:t>
            </w:r>
            <w:r w:rsidR="00205FC3">
              <w:rPr>
                <w:rFonts w:ascii="SimSun" w:hAnsi="SimSun" w:cs="SimSun" w:hint="eastAsia"/>
                <w:bCs/>
                <w:color w:val="000000"/>
              </w:rPr>
              <w:t>本交易前，Arcadium</w:t>
            </w:r>
            <w:r w:rsidR="00625A3C">
              <w:rPr>
                <w:rFonts w:ascii="SimSun" w:hAnsi="SimSun" w:cs="SimSun" w:hint="eastAsia"/>
                <w:bCs/>
                <w:color w:val="000000"/>
              </w:rPr>
              <w:t>股权分散，</w:t>
            </w:r>
            <w:r w:rsidR="00205FC3">
              <w:rPr>
                <w:rFonts w:ascii="SimSun" w:hAnsi="SimSun" w:cs="SimSun" w:hint="eastAsia"/>
                <w:bCs/>
                <w:color w:val="000000"/>
              </w:rPr>
              <w:t>没有最终控制人。本交易后，</w:t>
            </w:r>
            <w:r>
              <w:rPr>
                <w:rFonts w:ascii="SimSun" w:hAnsi="SimSun" w:cs="SimSun" w:hint="eastAsia"/>
                <w:bCs/>
                <w:color w:val="000000"/>
              </w:rPr>
              <w:t>力拓西部控股</w:t>
            </w:r>
            <w:r w:rsidR="00205FC3">
              <w:rPr>
                <w:rFonts w:ascii="SimSun" w:hAnsi="SimSun" w:cs="SimSun" w:hint="eastAsia"/>
                <w:bCs/>
                <w:color w:val="000000"/>
              </w:rPr>
              <w:t>将持有Arcadium</w:t>
            </w:r>
            <w:r w:rsidR="00625A3C">
              <w:rPr>
                <w:rFonts w:ascii="SimSun" w:hAnsi="SimSun" w:cs="SimSun" w:hint="eastAsia"/>
                <w:bCs/>
                <w:color w:val="000000"/>
              </w:rPr>
              <w:t>100%</w:t>
            </w:r>
            <w:r w:rsidR="00205FC3">
              <w:rPr>
                <w:rFonts w:ascii="SimSun" w:hAnsi="SimSun" w:cs="SimSun" w:hint="eastAsia"/>
                <w:bCs/>
                <w:color w:val="000000"/>
              </w:rPr>
              <w:t>的股权并</w:t>
            </w:r>
            <w:r w:rsidR="00BA0F09">
              <w:rPr>
                <w:rFonts w:ascii="SimSun" w:hAnsi="SimSun" w:cs="SimSun" w:hint="eastAsia"/>
                <w:bCs/>
                <w:color w:val="000000"/>
              </w:rPr>
              <w:t>对其实施</w:t>
            </w:r>
            <w:r w:rsidR="00205FC3">
              <w:rPr>
                <w:rFonts w:ascii="SimSun" w:hAnsi="SimSun" w:cs="SimSun" w:hint="eastAsia"/>
                <w:bCs/>
                <w:color w:val="000000"/>
              </w:rPr>
              <w:t>单独控制。</w:t>
            </w:r>
          </w:p>
        </w:tc>
      </w:tr>
      <w:tr w:rsidR="00AB1591" w14:paraId="31172F65" w14:textId="77777777" w:rsidTr="00D758F5">
        <w:trPr>
          <w:trHeight w:val="942"/>
          <w:jc w:val="center"/>
        </w:trPr>
        <w:tc>
          <w:tcPr>
            <w:tcW w:w="2061" w:type="dxa"/>
            <w:vMerge w:val="restart"/>
            <w:shd w:val="clear" w:color="auto" w:fill="D9D9D9"/>
            <w:vAlign w:val="center"/>
          </w:tcPr>
          <w:p w14:paraId="056D54E7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t>100字以内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796" w:type="dxa"/>
            <w:vAlign w:val="center"/>
          </w:tcPr>
          <w:p w14:paraId="4E5ED8B1" w14:textId="2F0F47DB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t>1.</w:t>
            </w:r>
            <w:proofErr w:type="spellStart"/>
            <w:r w:rsidR="00D254F9">
              <w:rPr>
                <w:rFonts w:ascii="SimSun" w:hAnsi="SimSun" w:cs="SimSun" w:hint="eastAsia"/>
                <w:bCs/>
                <w:color w:val="000000"/>
                <w:lang w:val="en-US"/>
              </w:rPr>
              <w:t>力拓西部控股</w:t>
            </w:r>
            <w:proofErr w:type="spellEnd"/>
          </w:p>
        </w:tc>
        <w:tc>
          <w:tcPr>
            <w:tcW w:w="5783" w:type="dxa"/>
            <w:vAlign w:val="center"/>
          </w:tcPr>
          <w:p w14:paraId="7058167B" w14:textId="49DA297E" w:rsidR="00AB1591" w:rsidRDefault="00D254F9" w:rsidP="00D758F5">
            <w:pPr>
              <w:widowControl w:val="0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</w:rPr>
            </w:pPr>
            <w:r>
              <w:rPr>
                <w:rFonts w:ascii="SimSun" w:hAnsi="SimSun" w:cs="SimSun" w:hint="eastAsia"/>
                <w:bCs/>
                <w:color w:val="000000"/>
              </w:rPr>
              <w:t>力拓西部控股</w:t>
            </w:r>
            <w:r w:rsidR="0066046E">
              <w:rPr>
                <w:rFonts w:ascii="SimSun" w:hAnsi="SimSun" w:cs="SimSun" w:hint="eastAsia"/>
                <w:bCs/>
                <w:color w:val="000000"/>
              </w:rPr>
              <w:t>于1873年3月29日成立于英国，</w:t>
            </w:r>
            <w:r w:rsidR="000B0F98">
              <w:rPr>
                <w:rFonts w:ascii="SimSun" w:hAnsi="SimSun" w:cs="SimSun" w:hint="eastAsia"/>
                <w:bCs/>
                <w:color w:val="000000"/>
              </w:rPr>
              <w:t>为控股公司</w:t>
            </w:r>
            <w:r w:rsidR="00625A3C">
              <w:rPr>
                <w:rFonts w:ascii="SimSun" w:hAnsi="SimSun" w:cs="SimSun" w:hint="eastAsia"/>
                <w:bCs/>
                <w:color w:val="000000"/>
              </w:rPr>
              <w:t>，</w:t>
            </w:r>
            <w:r w:rsidR="00623634">
              <w:rPr>
                <w:rFonts w:ascii="SimSun" w:hAnsi="SimSun" w:cs="SimSun" w:hint="eastAsia"/>
                <w:bCs/>
                <w:color w:val="000000"/>
              </w:rPr>
              <w:t>本身</w:t>
            </w:r>
            <w:r w:rsidR="00625A3C">
              <w:rPr>
                <w:rFonts w:ascii="SimSun" w:hAnsi="SimSun" w:cs="SimSun" w:hint="eastAsia"/>
                <w:bCs/>
                <w:color w:val="000000"/>
              </w:rPr>
              <w:t>不从事</w:t>
            </w:r>
            <w:r w:rsidR="00615CC3" w:rsidRPr="00615CC3">
              <w:rPr>
                <w:rFonts w:ascii="SimSun" w:hAnsi="SimSun" w:cs="SimSun" w:hint="eastAsia"/>
                <w:bCs/>
                <w:color w:val="000000"/>
              </w:rPr>
              <w:t>实际业务</w:t>
            </w:r>
            <w:r w:rsidR="000B0F98">
              <w:rPr>
                <w:rFonts w:ascii="SimSun" w:hAnsi="SimSun" w:cs="SimSun" w:hint="eastAsia"/>
                <w:bCs/>
                <w:color w:val="000000"/>
              </w:rPr>
              <w:t>。</w:t>
            </w:r>
          </w:p>
          <w:p w14:paraId="3E612D64" w14:textId="1483FABF" w:rsidR="000B0F98" w:rsidRDefault="00D254F9" w:rsidP="00D758F5">
            <w:pPr>
              <w:widowControl w:val="0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</w:rPr>
            </w:pPr>
            <w:r>
              <w:rPr>
                <w:rFonts w:ascii="SimSun" w:hAnsi="SimSun" w:cs="SimSun" w:hint="eastAsia"/>
                <w:bCs/>
                <w:color w:val="000000"/>
              </w:rPr>
              <w:t>力拓西部控股</w:t>
            </w:r>
            <w:r w:rsidR="000B0F98" w:rsidRPr="000B0F98">
              <w:rPr>
                <w:rFonts w:ascii="SimSun" w:hAnsi="SimSun" w:cs="SimSun" w:hint="eastAsia"/>
                <w:bCs/>
                <w:color w:val="000000"/>
              </w:rPr>
              <w:t>的最终控制人是力拓股份公司（“力拓股份”）。力拓股份</w:t>
            </w:r>
            <w:r w:rsidR="00B0396F">
              <w:rPr>
                <w:rFonts w:ascii="SimSun" w:hAnsi="SimSun" w:cs="SimSun" w:hint="eastAsia"/>
                <w:bCs/>
                <w:color w:val="000000"/>
              </w:rPr>
              <w:t>的主要业务是矿产资源的</w:t>
            </w:r>
            <w:r w:rsidR="00B0396F" w:rsidRPr="00213EFD">
              <w:rPr>
                <w:rFonts w:ascii="Arial" w:hAnsi="Arial" w:cs="Arial" w:hint="eastAsia"/>
                <w:szCs w:val="21"/>
              </w:rPr>
              <w:t>勘探、开采和</w:t>
            </w:r>
            <w:r w:rsidR="00B0396F">
              <w:rPr>
                <w:rFonts w:ascii="Arial" w:hAnsi="Arial" w:cs="Arial" w:hint="eastAsia"/>
                <w:szCs w:val="21"/>
              </w:rPr>
              <w:t>加工</w:t>
            </w:r>
            <w:r w:rsidR="000B0F98" w:rsidRPr="000B0F98">
              <w:rPr>
                <w:rFonts w:ascii="SimSun" w:hAnsi="SimSun" w:cs="SimSun" w:hint="eastAsia"/>
                <w:bCs/>
                <w:color w:val="000000"/>
              </w:rPr>
              <w:t>。</w:t>
            </w:r>
          </w:p>
        </w:tc>
      </w:tr>
      <w:tr w:rsidR="00AB1591" w14:paraId="03FED3EA" w14:textId="77777777" w:rsidTr="00D758F5">
        <w:trPr>
          <w:trHeight w:val="984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6181F5E7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1796" w:type="dxa"/>
            <w:vAlign w:val="center"/>
          </w:tcPr>
          <w:p w14:paraId="51C3924F" w14:textId="30B0449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t>2.</w:t>
            </w:r>
            <w:r w:rsidR="0064556F">
              <w:rPr>
                <w:rFonts w:ascii="SimSun" w:hAnsi="SimSun" w:cs="SimSun" w:hint="eastAsia"/>
                <w:bCs/>
                <w:color w:val="000000"/>
                <w:lang w:val="en-US"/>
              </w:rPr>
              <w:t>A</w:t>
            </w:r>
            <w:r w:rsidR="0064556F"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t>rcadium</w:t>
            </w:r>
          </w:p>
        </w:tc>
        <w:tc>
          <w:tcPr>
            <w:tcW w:w="5783" w:type="dxa"/>
            <w:vAlign w:val="center"/>
          </w:tcPr>
          <w:p w14:paraId="79A91C60" w14:textId="49953568" w:rsidR="00AB1591" w:rsidRDefault="009F36A7" w:rsidP="00D758F5">
            <w:pPr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</w:rPr>
            </w:pPr>
            <w:r>
              <w:rPr>
                <w:rFonts w:ascii="SimSun" w:hAnsi="SimSun" w:cs="SimSun" w:hint="eastAsia"/>
                <w:bCs/>
                <w:color w:val="000000"/>
              </w:rPr>
              <w:t>Arcadium于2023年5月5日</w:t>
            </w:r>
            <w:r w:rsidR="00BA0F09">
              <w:rPr>
                <w:rFonts w:ascii="SimSun" w:hAnsi="SimSun" w:cs="SimSun" w:hint="eastAsia"/>
                <w:bCs/>
                <w:color w:val="000000"/>
              </w:rPr>
              <w:t>成</w:t>
            </w:r>
            <w:r>
              <w:rPr>
                <w:rFonts w:ascii="SimSun" w:hAnsi="SimSun" w:cs="SimSun" w:hint="eastAsia"/>
                <w:bCs/>
                <w:color w:val="000000"/>
              </w:rPr>
              <w:t>立于泽西岛，为纽约证券交易所和澳大利亚证券交易所上市公司。</w:t>
            </w:r>
            <w:r w:rsidR="00007D69">
              <w:rPr>
                <w:rFonts w:ascii="SimSun" w:hAnsi="SimSun" w:cs="SimSun" w:hint="eastAsia"/>
                <w:bCs/>
                <w:color w:val="000000"/>
                <w:lang w:val="en-US"/>
              </w:rPr>
              <w:t>Arcadium主要从事</w:t>
            </w:r>
            <w:r w:rsidR="00007D69" w:rsidRPr="00007D69">
              <w:rPr>
                <w:rFonts w:ascii="SimSun" w:hAnsi="SimSun" w:cs="SimSun" w:hint="eastAsia"/>
                <w:bCs/>
                <w:color w:val="000000"/>
              </w:rPr>
              <w:t>锂矿开采及</w:t>
            </w:r>
            <w:proofErr w:type="gramStart"/>
            <w:r w:rsidR="00007D69" w:rsidRPr="00007D69">
              <w:rPr>
                <w:rFonts w:ascii="SimSun" w:hAnsi="SimSun" w:cs="SimSun" w:hint="eastAsia"/>
                <w:bCs/>
                <w:color w:val="000000"/>
              </w:rPr>
              <w:t>锂加工</w:t>
            </w:r>
            <w:proofErr w:type="gramEnd"/>
            <w:r w:rsidR="00007D69" w:rsidRPr="00007D69">
              <w:rPr>
                <w:rFonts w:ascii="SimSun" w:hAnsi="SimSun" w:cs="SimSun" w:hint="eastAsia"/>
                <w:bCs/>
                <w:color w:val="000000"/>
              </w:rPr>
              <w:t>产品的生产和供应。</w:t>
            </w:r>
          </w:p>
          <w:p w14:paraId="29E2FC89" w14:textId="617BCBF4" w:rsidR="000805B2" w:rsidRDefault="000805B2" w:rsidP="00D758F5">
            <w:pPr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</w:rPr>
            </w:pPr>
            <w:r>
              <w:rPr>
                <w:rFonts w:ascii="SimSun" w:hAnsi="SimSun" w:cs="SimSun" w:hint="eastAsia"/>
                <w:bCs/>
                <w:color w:val="000000"/>
              </w:rPr>
              <w:t>Arcadium</w:t>
            </w:r>
            <w:r w:rsidR="003A4D75">
              <w:rPr>
                <w:rFonts w:ascii="SimSun" w:hAnsi="SimSun" w:cs="SimSun" w:hint="eastAsia"/>
                <w:bCs/>
                <w:color w:val="000000"/>
              </w:rPr>
              <w:t>股权分散，</w:t>
            </w:r>
            <w:r>
              <w:rPr>
                <w:rFonts w:ascii="SimSun" w:hAnsi="SimSun" w:cs="SimSun" w:hint="eastAsia"/>
                <w:bCs/>
                <w:color w:val="000000"/>
              </w:rPr>
              <w:t>没有最终控制人。</w:t>
            </w:r>
          </w:p>
        </w:tc>
      </w:tr>
      <w:tr w:rsidR="00AB1591" w14:paraId="501E4A19" w14:textId="77777777" w:rsidTr="00D758F5">
        <w:trPr>
          <w:trHeight w:val="367"/>
          <w:jc w:val="center"/>
        </w:trPr>
        <w:tc>
          <w:tcPr>
            <w:tcW w:w="2061" w:type="dxa"/>
            <w:vMerge w:val="restart"/>
            <w:shd w:val="clear" w:color="auto" w:fill="D9D9D9"/>
            <w:vAlign w:val="center"/>
          </w:tcPr>
          <w:p w14:paraId="621457B3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579" w:type="dxa"/>
            <w:gridSpan w:val="2"/>
            <w:vAlign w:val="center"/>
          </w:tcPr>
          <w:p w14:paraId="417567DC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sym w:font="Wingdings" w:char="00FE"/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 xml:space="preserve"> </w:t>
            </w:r>
            <w:r w:rsidRPr="000C12E5">
              <w:rPr>
                <w:rFonts w:ascii="SimSun" w:hAnsi="SimSun" w:cs="SimSun" w:hint="eastAsia"/>
                <w:bCs/>
                <w:color w:val="000000"/>
                <w:lang w:eastAsia="zh-CN"/>
              </w:rPr>
              <w:t>1.在同一相关市场，参与集中的经营者所占的市场份额之和小于15%。</w:t>
            </w:r>
          </w:p>
        </w:tc>
      </w:tr>
      <w:tr w:rsidR="00AB1591" w14:paraId="0A058781" w14:textId="77777777" w:rsidTr="00D758F5">
        <w:trPr>
          <w:trHeight w:val="163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350D7F7E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61E0D984" w14:textId="3926F60B" w:rsidR="00AB1591" w:rsidRDefault="000C3D95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sym w:font="Wingdings" w:char="00FE"/>
            </w:r>
            <w:r w:rsidR="00AB1591">
              <w:rPr>
                <w:rFonts w:ascii="SimSun" w:hAnsi="SimSun" w:cs="SimSun" w:hint="eastAsia"/>
                <w:bCs/>
                <w:color w:val="000000"/>
                <w:lang w:eastAsia="zh-CN"/>
              </w:rPr>
              <w:t xml:space="preserve"> </w:t>
            </w:r>
            <w:r w:rsidR="00AB1591" w:rsidRPr="000C12E5">
              <w:rPr>
                <w:rFonts w:ascii="SimSun" w:hAnsi="SimSun" w:cs="SimSun" w:hint="eastAsia"/>
                <w:bCs/>
                <w:color w:val="000000"/>
                <w:lang w:eastAsia="zh-CN"/>
              </w:rPr>
              <w:t>2.在上下游市场，参与集中的经营者所占的市场份额均小于25%。</w:t>
            </w:r>
          </w:p>
        </w:tc>
      </w:tr>
      <w:tr w:rsidR="00AB1591" w14:paraId="19E202C9" w14:textId="77777777" w:rsidTr="00D758F5">
        <w:trPr>
          <w:trHeight w:val="267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112C1E95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649DEEE0" w14:textId="17A52B15" w:rsidR="00AB1591" w:rsidRDefault="000C3D95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sym w:font="Wingdings" w:char="00FE"/>
            </w:r>
            <w:r w:rsidR="00AB1591">
              <w:rPr>
                <w:rFonts w:ascii="SimSun" w:hAnsi="SimSun" w:cs="SimSun" w:hint="eastAsia"/>
                <w:bCs/>
                <w:color w:val="000000"/>
                <w:lang w:eastAsia="zh-CN"/>
              </w:rPr>
              <w:t xml:space="preserve"> </w:t>
            </w:r>
            <w:r w:rsidR="00AB1591" w:rsidRPr="005517F9">
              <w:rPr>
                <w:rFonts w:ascii="SimSun" w:hAnsi="SimSun" w:cs="SimSun" w:hint="eastAsia"/>
                <w:bCs/>
                <w:color w:val="000000"/>
                <w:lang w:eastAsia="zh-CN"/>
              </w:rPr>
              <w:t>3.不在同一相关市场也不存在上下游关系的参与集中的经营者，在与交易有关的每个市场所占的市场份额均小于25%。</w:t>
            </w:r>
          </w:p>
        </w:tc>
      </w:tr>
      <w:tr w:rsidR="00AB1591" w14:paraId="496AF483" w14:textId="77777777" w:rsidTr="00D758F5">
        <w:trPr>
          <w:trHeight w:val="617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0E9192B8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01B64B14" w14:textId="77777777" w:rsidR="00AB1591" w:rsidRDefault="00AB1591" w:rsidP="00D758F5">
            <w:pPr>
              <w:pStyle w:val="BodyText"/>
              <w:pageBreakBefore/>
              <w:widowControl w:val="0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 xml:space="preserve"> </w:t>
            </w:r>
            <w:r w:rsidRPr="001435C8">
              <w:rPr>
                <w:rFonts w:ascii="SimSun" w:hAnsi="SimSun" w:cs="SimSun" w:hint="eastAsia"/>
                <w:bCs/>
                <w:color w:val="000000"/>
                <w:lang w:eastAsia="zh-CN"/>
              </w:rPr>
              <w:t>4.参与集中的经营者在中国境外设立合营企业，合营企业不在中国境内从事经济活动。</w:t>
            </w:r>
          </w:p>
        </w:tc>
      </w:tr>
      <w:tr w:rsidR="00AB1591" w14:paraId="7734741B" w14:textId="77777777" w:rsidTr="00D758F5">
        <w:trPr>
          <w:trHeight w:val="285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273332EA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72350602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 xml:space="preserve"> </w:t>
            </w:r>
            <w:r w:rsidRPr="001435C8">
              <w:rPr>
                <w:rFonts w:ascii="SimSun" w:hAnsi="SimSun" w:cs="SimSun" w:hint="eastAsia"/>
                <w:bCs/>
                <w:color w:val="000000"/>
                <w:lang w:eastAsia="zh-CN"/>
              </w:rPr>
              <w:t>5.参与集中的经营者收购境外企业股权或资产的，该境外企业不在中国境内从事经济活动。</w:t>
            </w:r>
          </w:p>
        </w:tc>
      </w:tr>
      <w:tr w:rsidR="00AB1591" w14:paraId="7849EFAA" w14:textId="77777777" w:rsidTr="00D758F5">
        <w:trPr>
          <w:trHeight w:val="345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325739E7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575523C4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 xml:space="preserve"> </w:t>
            </w:r>
            <w:r w:rsidRPr="001435C8">
              <w:rPr>
                <w:rFonts w:ascii="SimSun" w:hAnsi="SimSun" w:cs="SimSun" w:hint="eastAsia"/>
                <w:bCs/>
                <w:color w:val="000000"/>
                <w:lang w:eastAsia="zh-CN"/>
              </w:rPr>
              <w:t>6.由两个以上的经营者共同控制的合营企业，通过集中被其中一个或一个以上经营者控制。</w:t>
            </w:r>
          </w:p>
        </w:tc>
      </w:tr>
      <w:tr w:rsidR="00AB1591" w14:paraId="766EFD51" w14:textId="77777777" w:rsidTr="00D758F5">
        <w:trPr>
          <w:trHeight w:val="1250"/>
          <w:jc w:val="center"/>
        </w:trPr>
        <w:tc>
          <w:tcPr>
            <w:tcW w:w="2061" w:type="dxa"/>
            <w:shd w:val="clear" w:color="auto" w:fill="D9D9D9"/>
            <w:vAlign w:val="center"/>
          </w:tcPr>
          <w:p w14:paraId="477C4850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579" w:type="dxa"/>
            <w:gridSpan w:val="2"/>
            <w:vAlign w:val="center"/>
          </w:tcPr>
          <w:p w14:paraId="3FBDD2AC" w14:textId="77777777" w:rsidR="00AB1591" w:rsidRPr="006F28E7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/>
                <w:color w:val="000000"/>
                <w:lang w:eastAsia="zh-CN"/>
              </w:rPr>
            </w:pPr>
            <w:r w:rsidRPr="006F28E7">
              <w:rPr>
                <w:rFonts w:ascii="SimSun" w:hAnsi="SimSun" w:cs="SimSun" w:hint="eastAsia"/>
                <w:b/>
                <w:color w:val="000000"/>
                <w:lang w:eastAsia="zh-CN"/>
              </w:rPr>
              <w:t>横向重叠：</w:t>
            </w:r>
          </w:p>
          <w:p w14:paraId="7047E9B9" w14:textId="7F8008D7" w:rsidR="00AB1591" w:rsidRPr="006F28E7" w:rsidRDefault="000C3D95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2023</w:t>
            </w:r>
            <w:r w:rsidR="00AB1591"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年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全球</w:t>
            </w:r>
            <w:proofErr w:type="gramStart"/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锂</w:t>
            </w:r>
            <w:proofErr w:type="gramEnd"/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精矿</w:t>
            </w:r>
            <w:r w:rsidR="00AB1591"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市场</w:t>
            </w:r>
            <w:r w:rsidR="00AB1591"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</w:p>
          <w:p w14:paraId="11DE44DD" w14:textId="5B341B90" w:rsidR="00AB1591" w:rsidRDefault="000C3D95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</w:t>
            </w:r>
            <w:r w:rsidR="00AB1591"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5-10</w:t>
            </w:r>
            <w:r w:rsidR="00AB1591"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%，</w:t>
            </w:r>
            <w:r w:rsidR="00D254F9">
              <w:rPr>
                <w:rFonts w:ascii="SimSun" w:hAnsi="SimSun" w:cs="SimSun" w:hint="eastAsia"/>
                <w:bCs/>
                <w:color w:val="000000"/>
                <w:lang w:eastAsia="zh-CN"/>
              </w:rPr>
              <w:t>力拓西部控股</w:t>
            </w:r>
            <w:r w:rsidR="00C956C9"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0-5%，</w:t>
            </w:r>
            <w:r w:rsidR="00AB1591"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各方合计：5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-10</w:t>
            </w:r>
            <w:r w:rsidR="00AB1591"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</w:t>
            </w:r>
          </w:p>
          <w:p w14:paraId="78EF3636" w14:textId="12019F20" w:rsidR="000C3D95" w:rsidRPr="006F28E7" w:rsidRDefault="000C3D95" w:rsidP="000C3D9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2023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年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中国境内</w:t>
            </w:r>
            <w:proofErr w:type="gramStart"/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锂</w:t>
            </w:r>
            <w:proofErr w:type="gramEnd"/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精矿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市场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</w:p>
          <w:p w14:paraId="0BFFB42D" w14:textId="4F898742" w:rsidR="000C3D95" w:rsidRDefault="000C3D95" w:rsidP="000C3D9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Arcadium：5-10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%，</w:t>
            </w:r>
            <w:r w:rsidR="00D254F9">
              <w:rPr>
                <w:rFonts w:ascii="SimSun" w:hAnsi="SimSun" w:cs="SimSun" w:hint="eastAsia"/>
                <w:bCs/>
                <w:color w:val="000000"/>
                <w:lang w:eastAsia="zh-CN"/>
              </w:rPr>
              <w:t>力拓西部控股</w:t>
            </w:r>
            <w:r w:rsidR="00C956C9"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0-5%，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各方合计：5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-10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</w:t>
            </w:r>
          </w:p>
          <w:p w14:paraId="30E21527" w14:textId="77777777" w:rsidR="000C3D95" w:rsidRDefault="000C3D95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</w:p>
          <w:p w14:paraId="5B31D553" w14:textId="7AB7DA00" w:rsidR="000509F1" w:rsidRDefault="000509F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2023年全球碳酸锂市场：</w:t>
            </w:r>
          </w:p>
          <w:p w14:paraId="761F77E5" w14:textId="05EC5992" w:rsidR="000509F1" w:rsidRDefault="000509F1" w:rsidP="000509F1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Arcadium：0-5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%，</w:t>
            </w:r>
            <w:r w:rsidR="00D254F9">
              <w:rPr>
                <w:rFonts w:ascii="SimSun" w:hAnsi="SimSun" w:cs="SimSun" w:hint="eastAsia"/>
                <w:bCs/>
                <w:color w:val="000000"/>
                <w:lang w:eastAsia="zh-CN"/>
              </w:rPr>
              <w:t>力拓西部控股</w:t>
            </w:r>
            <w:r w:rsidR="00C956C9"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0-5%，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各方合计：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0-5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</w:t>
            </w:r>
          </w:p>
          <w:p w14:paraId="03BA7FB8" w14:textId="10948AA0" w:rsidR="000509F1" w:rsidRPr="006F28E7" w:rsidRDefault="000509F1" w:rsidP="000509F1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2023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年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中国境内碳酸锂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市场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</w:p>
          <w:p w14:paraId="24C26B45" w14:textId="219399C9" w:rsidR="000509F1" w:rsidRDefault="000509F1" w:rsidP="000509F1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Arcadium：</w:t>
            </w:r>
            <w:r w:rsidR="00E42989">
              <w:rPr>
                <w:rFonts w:ascii="SimSun" w:hAnsi="SimSun" w:cs="SimSun" w:hint="eastAsia"/>
                <w:bCs/>
                <w:color w:val="000000"/>
                <w:lang w:eastAsia="zh-CN"/>
              </w:rPr>
              <w:t>0-5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%，</w:t>
            </w:r>
            <w:r w:rsidR="00D254F9">
              <w:rPr>
                <w:rFonts w:ascii="SimSun" w:hAnsi="SimSun" w:cs="SimSun" w:hint="eastAsia"/>
                <w:bCs/>
                <w:color w:val="000000"/>
                <w:lang w:eastAsia="zh-CN"/>
              </w:rPr>
              <w:t>力拓西部控股</w:t>
            </w:r>
            <w:r w:rsidR="00C956C9"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0-5%，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各方合计：</w:t>
            </w:r>
            <w:r w:rsidR="00C25F8C">
              <w:rPr>
                <w:rFonts w:ascii="SimSun" w:hAnsi="SimSun" w:cs="SimSun" w:hint="eastAsia"/>
                <w:bCs/>
                <w:color w:val="000000"/>
                <w:lang w:eastAsia="zh-CN"/>
              </w:rPr>
              <w:t>0-5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</w:t>
            </w:r>
          </w:p>
          <w:p w14:paraId="1A6737A3" w14:textId="77777777" w:rsidR="000509F1" w:rsidRDefault="000509F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</w:p>
          <w:p w14:paraId="1FC1D6BB" w14:textId="4571974A" w:rsidR="00125D1F" w:rsidRPr="006F28E7" w:rsidRDefault="00125D1F" w:rsidP="00125D1F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2023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年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中国境内氢氧化锂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市场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</w:p>
          <w:p w14:paraId="6A579321" w14:textId="4CAA31DB" w:rsidR="00125D1F" w:rsidRDefault="00125D1F" w:rsidP="00125D1F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Arcadium：5-10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%，</w:t>
            </w:r>
            <w:r w:rsidR="00D254F9">
              <w:rPr>
                <w:rFonts w:ascii="SimSun" w:hAnsi="SimSun" w:cs="SimSun" w:hint="eastAsia"/>
                <w:bCs/>
                <w:color w:val="000000"/>
                <w:lang w:eastAsia="zh-CN"/>
              </w:rPr>
              <w:t>力拓西部控股</w:t>
            </w:r>
            <w:r w:rsidR="00C956C9"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0-5%，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各方合计：5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-10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</w:t>
            </w:r>
          </w:p>
          <w:p w14:paraId="7A0AD8F7" w14:textId="77777777" w:rsidR="000509F1" w:rsidRDefault="000509F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</w:p>
          <w:p w14:paraId="1DB81A4B" w14:textId="589E0D44" w:rsidR="00AB1591" w:rsidRPr="002703AE" w:rsidRDefault="00AB1591" w:rsidP="002703AE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 w:rsidRPr="006F28E7">
              <w:rPr>
                <w:rFonts w:ascii="SimSun" w:hAnsi="SimSun" w:cs="SimSun" w:hint="eastAsia"/>
                <w:b/>
                <w:color w:val="000000"/>
                <w:lang w:eastAsia="zh-CN"/>
              </w:rPr>
              <w:t>纵向关联：</w:t>
            </w:r>
          </w:p>
          <w:p w14:paraId="3AD56100" w14:textId="2EDA52E7" w:rsidR="00AB1591" w:rsidRPr="006F28E7" w:rsidRDefault="00AB1591" w:rsidP="00125D1F">
            <w:pPr>
              <w:pStyle w:val="BodyText"/>
              <w:numPr>
                <w:ilvl w:val="0"/>
                <w:numId w:val="4"/>
              </w:numPr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上游：</w:t>
            </w:r>
            <w:r w:rsidR="00125D1F">
              <w:rPr>
                <w:rFonts w:ascii="SimSun" w:hAnsi="SimSun" w:cs="SimSun" w:hint="eastAsia"/>
                <w:bCs/>
                <w:color w:val="000000"/>
                <w:lang w:eastAsia="zh-CN"/>
              </w:rPr>
              <w:t>2023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年</w:t>
            </w:r>
            <w:r w:rsidR="00125D1F">
              <w:rPr>
                <w:rFonts w:ascii="SimSun" w:hAnsi="SimSun" w:cs="SimSun" w:hint="eastAsia"/>
                <w:bCs/>
                <w:color w:val="000000"/>
                <w:lang w:eastAsia="zh-CN"/>
              </w:rPr>
              <w:t>全球</w:t>
            </w:r>
            <w:proofErr w:type="gramStart"/>
            <w:r w:rsidR="00125D1F">
              <w:rPr>
                <w:rFonts w:ascii="SimSun" w:hAnsi="SimSun" w:cs="SimSun" w:hint="eastAsia"/>
                <w:bCs/>
                <w:color w:val="000000"/>
                <w:lang w:eastAsia="zh-CN"/>
              </w:rPr>
              <w:t>锂</w:t>
            </w:r>
            <w:proofErr w:type="gramEnd"/>
            <w:r w:rsidR="00125D1F">
              <w:rPr>
                <w:rFonts w:ascii="SimSun" w:hAnsi="SimSun" w:cs="SimSun" w:hint="eastAsia"/>
                <w:bCs/>
                <w:color w:val="000000"/>
                <w:lang w:eastAsia="zh-CN"/>
              </w:rPr>
              <w:t>精矿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市场：</w:t>
            </w:r>
          </w:p>
          <w:p w14:paraId="7BE05491" w14:textId="287B3762" w:rsidR="00125D1F" w:rsidRDefault="00125D1F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Arcadium：如上所述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，</w:t>
            </w:r>
            <w:r w:rsidR="00D254F9">
              <w:rPr>
                <w:rFonts w:ascii="SimSun" w:hAnsi="SimSun" w:cs="SimSun" w:hint="eastAsia"/>
                <w:bCs/>
                <w:color w:val="000000"/>
                <w:lang w:eastAsia="zh-CN"/>
              </w:rPr>
              <w:t>力拓西部控股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：如上所述</w:t>
            </w:r>
          </w:p>
          <w:p w14:paraId="6DF521A4" w14:textId="44AE8BC3" w:rsidR="00AB1591" w:rsidRPr="006F28E7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下游：</w:t>
            </w:r>
            <w:r w:rsidR="00C956C9">
              <w:rPr>
                <w:rFonts w:ascii="SimSun" w:hAnsi="SimSun" w:cs="SimSun" w:hint="eastAsia"/>
                <w:bCs/>
                <w:color w:val="000000"/>
                <w:lang w:eastAsia="zh-CN"/>
              </w:rPr>
              <w:t>2023年全球碳酸锂市场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</w:p>
          <w:p w14:paraId="33ABBC8F" w14:textId="52F8FE4B" w:rsidR="00C956C9" w:rsidRDefault="00C956C9" w:rsidP="00C956C9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Arcadium：如上所述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，</w:t>
            </w:r>
            <w:r w:rsidR="00D254F9">
              <w:rPr>
                <w:rFonts w:ascii="SimSun" w:hAnsi="SimSun" w:cs="SimSun" w:hint="eastAsia"/>
                <w:bCs/>
                <w:color w:val="000000"/>
                <w:lang w:eastAsia="zh-CN"/>
              </w:rPr>
              <w:t>力拓西部控股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：如上所述</w:t>
            </w:r>
          </w:p>
          <w:p w14:paraId="22F61A5F" w14:textId="77777777" w:rsidR="00C956C9" w:rsidRPr="006F28E7" w:rsidRDefault="00C956C9" w:rsidP="00C956C9">
            <w:pPr>
              <w:pStyle w:val="BodyText"/>
              <w:numPr>
                <w:ilvl w:val="0"/>
                <w:numId w:val="4"/>
              </w:numPr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上游：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2023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年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全球</w:t>
            </w:r>
            <w:proofErr w:type="gramStart"/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锂</w:t>
            </w:r>
            <w:proofErr w:type="gramEnd"/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精矿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市场：</w:t>
            </w:r>
          </w:p>
          <w:p w14:paraId="565E6C40" w14:textId="00E3EACE" w:rsidR="00C956C9" w:rsidRDefault="00C956C9" w:rsidP="00C956C9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Arcadium：如上所述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，</w:t>
            </w:r>
            <w:r w:rsidR="00D254F9">
              <w:rPr>
                <w:rFonts w:ascii="SimSun" w:hAnsi="SimSun" w:cs="SimSun" w:hint="eastAsia"/>
                <w:bCs/>
                <w:color w:val="000000"/>
                <w:lang w:eastAsia="zh-CN"/>
              </w:rPr>
              <w:t>力拓西部控股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：如上所述</w:t>
            </w:r>
          </w:p>
          <w:p w14:paraId="7F6BC6DC" w14:textId="4E93EFC0" w:rsidR="00C956C9" w:rsidRPr="006F28E7" w:rsidRDefault="00C956C9" w:rsidP="00C956C9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下游：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2023年</w:t>
            </w:r>
            <w:r w:rsidR="00824622">
              <w:rPr>
                <w:rFonts w:ascii="SimSun" w:hAnsi="SimSun" w:cs="SimSun" w:hint="eastAsia"/>
                <w:bCs/>
                <w:color w:val="000000"/>
                <w:lang w:eastAsia="zh-CN"/>
              </w:rPr>
              <w:t>中国境内氢氧化锂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市场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：</w:t>
            </w:r>
          </w:p>
          <w:p w14:paraId="64B8F08A" w14:textId="00C0368C" w:rsidR="00C956C9" w:rsidRDefault="00C956C9" w:rsidP="00C956C9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Arcadium：如上所述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，</w:t>
            </w:r>
            <w:r w:rsidR="00D254F9">
              <w:rPr>
                <w:rFonts w:ascii="SimSun" w:hAnsi="SimSun" w:cs="SimSun" w:hint="eastAsia"/>
                <w:bCs/>
                <w:color w:val="000000"/>
                <w:lang w:eastAsia="zh-CN"/>
              </w:rPr>
              <w:t>力拓西部控股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：如上所述</w:t>
            </w:r>
          </w:p>
          <w:p w14:paraId="04425C98" w14:textId="4C764A55" w:rsidR="00C956C9" w:rsidRDefault="00C956C9" w:rsidP="00824622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</w:p>
          <w:p w14:paraId="32C02845" w14:textId="7C2EB27D" w:rsidR="00C956C9" w:rsidRPr="00AE1804" w:rsidRDefault="00824622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/>
                <w:color w:val="000000"/>
                <w:lang w:eastAsia="zh-CN"/>
              </w:rPr>
            </w:pPr>
            <w:r w:rsidRPr="00AE1804">
              <w:rPr>
                <w:rFonts w:ascii="SimSun" w:hAnsi="SimSun" w:cs="SimSun" w:hint="eastAsia"/>
                <w:b/>
                <w:color w:val="000000"/>
                <w:lang w:eastAsia="zh-CN"/>
              </w:rPr>
              <w:t>混合</w:t>
            </w:r>
            <w:r w:rsidR="00BA0F09">
              <w:rPr>
                <w:rFonts w:ascii="SimSun" w:hAnsi="SimSun" w:cs="SimSun" w:hint="eastAsia"/>
                <w:b/>
                <w:color w:val="000000"/>
                <w:lang w:eastAsia="zh-CN"/>
              </w:rPr>
              <w:t>关系</w:t>
            </w:r>
            <w:r w:rsidRPr="00AE1804">
              <w:rPr>
                <w:rFonts w:ascii="SimSun" w:hAnsi="SimSun" w:cs="SimSun" w:hint="eastAsia"/>
                <w:b/>
                <w:color w:val="000000"/>
                <w:lang w:eastAsia="zh-CN"/>
              </w:rPr>
              <w:t>：</w:t>
            </w:r>
          </w:p>
          <w:p w14:paraId="50E1A2B5" w14:textId="49FD60CD" w:rsidR="001A51BA" w:rsidRDefault="001A51BA" w:rsidP="001A51BA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2023年中国境内</w:t>
            </w:r>
            <w:r w:rsidR="00B25240">
              <w:rPr>
                <w:rFonts w:ascii="SimSun" w:hAnsi="SimSun" w:cs="SimSun" w:hint="eastAsia"/>
                <w:bCs/>
                <w:color w:val="000000"/>
                <w:lang w:eastAsia="zh-CN"/>
              </w:rPr>
              <w:t>丁基</w:t>
            </w:r>
            <w:proofErr w:type="gramStart"/>
            <w:r w:rsidR="00B25240">
              <w:rPr>
                <w:rFonts w:ascii="SimSun" w:hAnsi="SimSun" w:cs="SimSun" w:hint="eastAsia"/>
                <w:bCs/>
                <w:color w:val="000000"/>
                <w:lang w:eastAsia="zh-CN"/>
              </w:rPr>
              <w:t>锂</w:t>
            </w:r>
            <w:proofErr w:type="gramEnd"/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市场：</w:t>
            </w:r>
          </w:p>
          <w:p w14:paraId="70187C8C" w14:textId="00C4F48B" w:rsidR="00C956C9" w:rsidRPr="006F28E7" w:rsidRDefault="001A51BA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Arcadium：15-20</w:t>
            </w:r>
            <w:r w:rsidRPr="006F28E7">
              <w:rPr>
                <w:rFonts w:ascii="SimSun" w:hAnsi="SimSun" w:cs="SimSun" w:hint="eastAsia"/>
                <w:bCs/>
                <w:color w:val="000000"/>
                <w:lang w:eastAsia="zh-CN"/>
              </w:rPr>
              <w:t>%</w:t>
            </w:r>
          </w:p>
        </w:tc>
      </w:tr>
    </w:tbl>
    <w:p w14:paraId="0D8914B2" w14:textId="43E3242E" w:rsidR="00AB1591" w:rsidRPr="00F372D2" w:rsidRDefault="00AB1591" w:rsidP="00F372D2">
      <w:pPr>
        <w:pStyle w:val="BodyText"/>
        <w:adjustRightInd w:val="0"/>
        <w:snapToGrid w:val="0"/>
        <w:spacing w:after="0"/>
        <w:rPr>
          <w:rFonts w:ascii="SimSun" w:hAnsi="SimSun" w:cs="SimSun"/>
          <w:bCs/>
          <w:color w:val="000000"/>
          <w:lang w:eastAsia="zh-CN"/>
        </w:rPr>
      </w:pPr>
    </w:p>
    <w:sectPr w:rsidR="00AB1591" w:rsidRPr="00F372D2" w:rsidSect="00622391"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CC9A9A" w14:textId="77777777" w:rsidR="009C2C05" w:rsidRDefault="009C2C05">
      <w:pPr>
        <w:spacing w:after="0"/>
      </w:pPr>
      <w:r>
        <w:separator/>
      </w:r>
    </w:p>
  </w:endnote>
  <w:endnote w:type="continuationSeparator" w:id="0">
    <w:p w14:paraId="79D4CC34" w14:textId="77777777" w:rsidR="009C2C05" w:rsidRDefault="009C2C05">
      <w:pPr>
        <w:spacing w:after="0"/>
      </w:pPr>
      <w:r>
        <w:continuationSeparator/>
      </w:r>
    </w:p>
  </w:endnote>
  <w:endnote w:type="continuationNotice" w:id="1">
    <w:p w14:paraId="7E0E99DC" w14:textId="77777777" w:rsidR="009C2C05" w:rsidRDefault="009C2C05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7AAF98" w14:textId="77777777" w:rsidR="009C2C05" w:rsidRDefault="009C2C05">
      <w:pPr>
        <w:spacing w:after="0"/>
      </w:pPr>
      <w:r>
        <w:separator/>
      </w:r>
    </w:p>
  </w:footnote>
  <w:footnote w:type="continuationSeparator" w:id="0">
    <w:p w14:paraId="513FFC40" w14:textId="77777777" w:rsidR="009C2C05" w:rsidRDefault="009C2C05">
      <w:pPr>
        <w:spacing w:after="0"/>
      </w:pPr>
      <w:r>
        <w:continuationSeparator/>
      </w:r>
    </w:p>
  </w:footnote>
  <w:footnote w:type="continuationNotice" w:id="1">
    <w:p w14:paraId="572020AB" w14:textId="77777777" w:rsidR="009C2C05" w:rsidRDefault="009C2C05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92154"/>
    <w:multiLevelType w:val="hybridMultilevel"/>
    <w:tmpl w:val="0B2632E0"/>
    <w:lvl w:ilvl="0" w:tplc="6C9632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5195CAD"/>
    <w:multiLevelType w:val="multilevel"/>
    <w:tmpl w:val="25195CAD"/>
    <w:lvl w:ilvl="0">
      <w:start w:val="1"/>
      <w:numFmt w:val="bullet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2" w15:restartNumberingAfterBreak="0">
    <w:nsid w:val="4F0244F7"/>
    <w:multiLevelType w:val="multilevel"/>
    <w:tmpl w:val="4F0244F7"/>
    <w:lvl w:ilvl="0">
      <w:start w:val="1"/>
      <w:numFmt w:val="decimal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B4F0377"/>
    <w:multiLevelType w:val="multilevel"/>
    <w:tmpl w:val="6B4F0377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440031797">
    <w:abstractNumId w:val="3"/>
  </w:num>
  <w:num w:numId="2" w16cid:durableId="1890915228">
    <w:abstractNumId w:val="1"/>
  </w:num>
  <w:num w:numId="3" w16cid:durableId="158425659">
    <w:abstractNumId w:val="2"/>
  </w:num>
  <w:num w:numId="4" w16cid:durableId="256063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NotTrackFormatting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FF"/>
    <w:rsid w:val="000027BD"/>
    <w:rsid w:val="0000484E"/>
    <w:rsid w:val="00007D69"/>
    <w:rsid w:val="000150B7"/>
    <w:rsid w:val="00021AB2"/>
    <w:rsid w:val="00031015"/>
    <w:rsid w:val="000326C8"/>
    <w:rsid w:val="000350B3"/>
    <w:rsid w:val="00041C40"/>
    <w:rsid w:val="0004292A"/>
    <w:rsid w:val="000467AA"/>
    <w:rsid w:val="000509F1"/>
    <w:rsid w:val="00061ACC"/>
    <w:rsid w:val="00062616"/>
    <w:rsid w:val="00064C04"/>
    <w:rsid w:val="00073E6B"/>
    <w:rsid w:val="0007723F"/>
    <w:rsid w:val="00077D60"/>
    <w:rsid w:val="000805B2"/>
    <w:rsid w:val="00083590"/>
    <w:rsid w:val="00092F4E"/>
    <w:rsid w:val="000B0F98"/>
    <w:rsid w:val="000B58E5"/>
    <w:rsid w:val="000B5958"/>
    <w:rsid w:val="000B653C"/>
    <w:rsid w:val="000C12E5"/>
    <w:rsid w:val="000C3D95"/>
    <w:rsid w:val="000C3FEA"/>
    <w:rsid w:val="000C5A6C"/>
    <w:rsid w:val="000C6953"/>
    <w:rsid w:val="000D0853"/>
    <w:rsid w:val="000E29A9"/>
    <w:rsid w:val="000E3A81"/>
    <w:rsid w:val="000E733E"/>
    <w:rsid w:val="000F2074"/>
    <w:rsid w:val="00107E19"/>
    <w:rsid w:val="00115F62"/>
    <w:rsid w:val="00123E26"/>
    <w:rsid w:val="00125D1F"/>
    <w:rsid w:val="0013032F"/>
    <w:rsid w:val="001435C8"/>
    <w:rsid w:val="00144ED5"/>
    <w:rsid w:val="00145A04"/>
    <w:rsid w:val="00145B05"/>
    <w:rsid w:val="001639D8"/>
    <w:rsid w:val="00167474"/>
    <w:rsid w:val="00186A05"/>
    <w:rsid w:val="001965E2"/>
    <w:rsid w:val="001A51BA"/>
    <w:rsid w:val="001B4EA1"/>
    <w:rsid w:val="001C5840"/>
    <w:rsid w:val="001C611D"/>
    <w:rsid w:val="001D1555"/>
    <w:rsid w:val="001D6168"/>
    <w:rsid w:val="001E0F1F"/>
    <w:rsid w:val="001F346E"/>
    <w:rsid w:val="001F35AA"/>
    <w:rsid w:val="001F367B"/>
    <w:rsid w:val="002003C5"/>
    <w:rsid w:val="00205FC3"/>
    <w:rsid w:val="00224A7C"/>
    <w:rsid w:val="00227605"/>
    <w:rsid w:val="002278D1"/>
    <w:rsid w:val="00231665"/>
    <w:rsid w:val="00233737"/>
    <w:rsid w:val="002403B5"/>
    <w:rsid w:val="00245281"/>
    <w:rsid w:val="00250E61"/>
    <w:rsid w:val="00261F94"/>
    <w:rsid w:val="002676B9"/>
    <w:rsid w:val="00267941"/>
    <w:rsid w:val="002703AE"/>
    <w:rsid w:val="00287E91"/>
    <w:rsid w:val="00291652"/>
    <w:rsid w:val="00295A9A"/>
    <w:rsid w:val="002964A1"/>
    <w:rsid w:val="002A25F2"/>
    <w:rsid w:val="002A2905"/>
    <w:rsid w:val="002A7C26"/>
    <w:rsid w:val="002D0419"/>
    <w:rsid w:val="002D2A89"/>
    <w:rsid w:val="002D3A8D"/>
    <w:rsid w:val="002E19BF"/>
    <w:rsid w:val="002F09A7"/>
    <w:rsid w:val="002F5271"/>
    <w:rsid w:val="00306B88"/>
    <w:rsid w:val="00310488"/>
    <w:rsid w:val="00311263"/>
    <w:rsid w:val="0034107F"/>
    <w:rsid w:val="00344D27"/>
    <w:rsid w:val="0035604C"/>
    <w:rsid w:val="00371332"/>
    <w:rsid w:val="0037525D"/>
    <w:rsid w:val="003850D4"/>
    <w:rsid w:val="00385F00"/>
    <w:rsid w:val="003866EF"/>
    <w:rsid w:val="003A4565"/>
    <w:rsid w:val="003A4D75"/>
    <w:rsid w:val="003B27EC"/>
    <w:rsid w:val="003B2F86"/>
    <w:rsid w:val="003B4439"/>
    <w:rsid w:val="003B4C9E"/>
    <w:rsid w:val="003B7CBC"/>
    <w:rsid w:val="003C1FD9"/>
    <w:rsid w:val="003C3456"/>
    <w:rsid w:val="003D3FCB"/>
    <w:rsid w:val="003E3B57"/>
    <w:rsid w:val="003E73DB"/>
    <w:rsid w:val="003F1EAC"/>
    <w:rsid w:val="00410914"/>
    <w:rsid w:val="004119F5"/>
    <w:rsid w:val="004166B2"/>
    <w:rsid w:val="004203EF"/>
    <w:rsid w:val="00427E52"/>
    <w:rsid w:val="00446353"/>
    <w:rsid w:val="0044739B"/>
    <w:rsid w:val="00447FA5"/>
    <w:rsid w:val="00467A6B"/>
    <w:rsid w:val="00483A62"/>
    <w:rsid w:val="0049707A"/>
    <w:rsid w:val="004973DB"/>
    <w:rsid w:val="0049771A"/>
    <w:rsid w:val="004A4BF1"/>
    <w:rsid w:val="004C3420"/>
    <w:rsid w:val="004D018B"/>
    <w:rsid w:val="004D124C"/>
    <w:rsid w:val="004D4435"/>
    <w:rsid w:val="00504EF0"/>
    <w:rsid w:val="00506292"/>
    <w:rsid w:val="0051218E"/>
    <w:rsid w:val="00512A53"/>
    <w:rsid w:val="00523905"/>
    <w:rsid w:val="005251B9"/>
    <w:rsid w:val="00530BB4"/>
    <w:rsid w:val="00545A47"/>
    <w:rsid w:val="005517F9"/>
    <w:rsid w:val="00557B7E"/>
    <w:rsid w:val="0057200D"/>
    <w:rsid w:val="00584750"/>
    <w:rsid w:val="00591CEC"/>
    <w:rsid w:val="00593A03"/>
    <w:rsid w:val="005A74EA"/>
    <w:rsid w:val="005B0CEB"/>
    <w:rsid w:val="005B18A3"/>
    <w:rsid w:val="005D277C"/>
    <w:rsid w:val="005D6D17"/>
    <w:rsid w:val="005E04F1"/>
    <w:rsid w:val="005E16CB"/>
    <w:rsid w:val="005E4B84"/>
    <w:rsid w:val="005E7B2F"/>
    <w:rsid w:val="005F5280"/>
    <w:rsid w:val="005F7223"/>
    <w:rsid w:val="0060413B"/>
    <w:rsid w:val="00604DBD"/>
    <w:rsid w:val="00605EE6"/>
    <w:rsid w:val="0060669E"/>
    <w:rsid w:val="00614EBB"/>
    <w:rsid w:val="0061583E"/>
    <w:rsid w:val="00615CC3"/>
    <w:rsid w:val="00617BCA"/>
    <w:rsid w:val="00622391"/>
    <w:rsid w:val="00623634"/>
    <w:rsid w:val="00625A3C"/>
    <w:rsid w:val="00632159"/>
    <w:rsid w:val="0064556F"/>
    <w:rsid w:val="00645B6A"/>
    <w:rsid w:val="0065163C"/>
    <w:rsid w:val="00651ED7"/>
    <w:rsid w:val="00652D70"/>
    <w:rsid w:val="00655225"/>
    <w:rsid w:val="0066046E"/>
    <w:rsid w:val="00664174"/>
    <w:rsid w:val="006643EA"/>
    <w:rsid w:val="0067348D"/>
    <w:rsid w:val="006745A9"/>
    <w:rsid w:val="00682729"/>
    <w:rsid w:val="006A3F69"/>
    <w:rsid w:val="006A5B9F"/>
    <w:rsid w:val="006A6F18"/>
    <w:rsid w:val="006B4541"/>
    <w:rsid w:val="006B5FF1"/>
    <w:rsid w:val="006D1E2B"/>
    <w:rsid w:val="006E0D98"/>
    <w:rsid w:val="006E3180"/>
    <w:rsid w:val="006E6BA5"/>
    <w:rsid w:val="006E6E26"/>
    <w:rsid w:val="006E70AA"/>
    <w:rsid w:val="006F09AF"/>
    <w:rsid w:val="006F28E7"/>
    <w:rsid w:val="006F7A98"/>
    <w:rsid w:val="007029CB"/>
    <w:rsid w:val="00705778"/>
    <w:rsid w:val="00710977"/>
    <w:rsid w:val="0071288A"/>
    <w:rsid w:val="0071373B"/>
    <w:rsid w:val="00720F7B"/>
    <w:rsid w:val="00726B19"/>
    <w:rsid w:val="00727BD0"/>
    <w:rsid w:val="007373F0"/>
    <w:rsid w:val="00742AFE"/>
    <w:rsid w:val="00742EDF"/>
    <w:rsid w:val="0074636B"/>
    <w:rsid w:val="00751420"/>
    <w:rsid w:val="007674D7"/>
    <w:rsid w:val="00772298"/>
    <w:rsid w:val="00773C60"/>
    <w:rsid w:val="00794062"/>
    <w:rsid w:val="00797584"/>
    <w:rsid w:val="007A2D94"/>
    <w:rsid w:val="007B651A"/>
    <w:rsid w:val="007B6ED8"/>
    <w:rsid w:val="007B75E4"/>
    <w:rsid w:val="007D6D5E"/>
    <w:rsid w:val="007E2608"/>
    <w:rsid w:val="007F1726"/>
    <w:rsid w:val="007F5296"/>
    <w:rsid w:val="0080200E"/>
    <w:rsid w:val="00803A33"/>
    <w:rsid w:val="008051ED"/>
    <w:rsid w:val="00811775"/>
    <w:rsid w:val="00824622"/>
    <w:rsid w:val="008248B2"/>
    <w:rsid w:val="00834D88"/>
    <w:rsid w:val="00864085"/>
    <w:rsid w:val="008803D0"/>
    <w:rsid w:val="00880F24"/>
    <w:rsid w:val="008836AF"/>
    <w:rsid w:val="00885C9B"/>
    <w:rsid w:val="00893879"/>
    <w:rsid w:val="008B2172"/>
    <w:rsid w:val="008D4ED8"/>
    <w:rsid w:val="008D644E"/>
    <w:rsid w:val="008E5BCA"/>
    <w:rsid w:val="008F7FC8"/>
    <w:rsid w:val="009022B0"/>
    <w:rsid w:val="00905F4A"/>
    <w:rsid w:val="009145E4"/>
    <w:rsid w:val="009301D9"/>
    <w:rsid w:val="0094346F"/>
    <w:rsid w:val="00953187"/>
    <w:rsid w:val="009551E9"/>
    <w:rsid w:val="0096333E"/>
    <w:rsid w:val="009668EC"/>
    <w:rsid w:val="00977C3B"/>
    <w:rsid w:val="00986A9A"/>
    <w:rsid w:val="009901B5"/>
    <w:rsid w:val="009A0BCC"/>
    <w:rsid w:val="009A2EFA"/>
    <w:rsid w:val="009A57C5"/>
    <w:rsid w:val="009A6CD4"/>
    <w:rsid w:val="009A6E66"/>
    <w:rsid w:val="009B0211"/>
    <w:rsid w:val="009C16F8"/>
    <w:rsid w:val="009C1DE7"/>
    <w:rsid w:val="009C2C05"/>
    <w:rsid w:val="009C5625"/>
    <w:rsid w:val="009C5962"/>
    <w:rsid w:val="009D0999"/>
    <w:rsid w:val="009E679E"/>
    <w:rsid w:val="009F0698"/>
    <w:rsid w:val="009F36A7"/>
    <w:rsid w:val="00A05705"/>
    <w:rsid w:val="00A14643"/>
    <w:rsid w:val="00A16F03"/>
    <w:rsid w:val="00A20754"/>
    <w:rsid w:val="00A21136"/>
    <w:rsid w:val="00A2266D"/>
    <w:rsid w:val="00A3323A"/>
    <w:rsid w:val="00A46C66"/>
    <w:rsid w:val="00A46FAF"/>
    <w:rsid w:val="00A5674A"/>
    <w:rsid w:val="00A623EF"/>
    <w:rsid w:val="00A64F91"/>
    <w:rsid w:val="00A7438D"/>
    <w:rsid w:val="00A74797"/>
    <w:rsid w:val="00A7601D"/>
    <w:rsid w:val="00A81984"/>
    <w:rsid w:val="00A95E6B"/>
    <w:rsid w:val="00AA0F23"/>
    <w:rsid w:val="00AA3E2F"/>
    <w:rsid w:val="00AA46CA"/>
    <w:rsid w:val="00AA535B"/>
    <w:rsid w:val="00AB1591"/>
    <w:rsid w:val="00AB620A"/>
    <w:rsid w:val="00AB7801"/>
    <w:rsid w:val="00AC3273"/>
    <w:rsid w:val="00AC68C4"/>
    <w:rsid w:val="00AD310D"/>
    <w:rsid w:val="00AD3D4D"/>
    <w:rsid w:val="00AE1804"/>
    <w:rsid w:val="00AE4069"/>
    <w:rsid w:val="00AE7916"/>
    <w:rsid w:val="00AF09EA"/>
    <w:rsid w:val="00AF1D6D"/>
    <w:rsid w:val="00AF5632"/>
    <w:rsid w:val="00AF7089"/>
    <w:rsid w:val="00B0396F"/>
    <w:rsid w:val="00B04913"/>
    <w:rsid w:val="00B2169A"/>
    <w:rsid w:val="00B25240"/>
    <w:rsid w:val="00B31D4D"/>
    <w:rsid w:val="00B3616B"/>
    <w:rsid w:val="00B37633"/>
    <w:rsid w:val="00B518C9"/>
    <w:rsid w:val="00B52EAC"/>
    <w:rsid w:val="00B54969"/>
    <w:rsid w:val="00B80B9E"/>
    <w:rsid w:val="00B838DA"/>
    <w:rsid w:val="00B853DE"/>
    <w:rsid w:val="00B86E3A"/>
    <w:rsid w:val="00B90D85"/>
    <w:rsid w:val="00BA017F"/>
    <w:rsid w:val="00BA0F09"/>
    <w:rsid w:val="00BD535F"/>
    <w:rsid w:val="00BE6E64"/>
    <w:rsid w:val="00BF31B7"/>
    <w:rsid w:val="00BF3948"/>
    <w:rsid w:val="00BF4F99"/>
    <w:rsid w:val="00C10048"/>
    <w:rsid w:val="00C25EA9"/>
    <w:rsid w:val="00C25F8C"/>
    <w:rsid w:val="00C30E9B"/>
    <w:rsid w:val="00C424FC"/>
    <w:rsid w:val="00C51ECC"/>
    <w:rsid w:val="00C600D9"/>
    <w:rsid w:val="00C67A29"/>
    <w:rsid w:val="00C67ADA"/>
    <w:rsid w:val="00C810E8"/>
    <w:rsid w:val="00C847C2"/>
    <w:rsid w:val="00C90BF7"/>
    <w:rsid w:val="00C956C9"/>
    <w:rsid w:val="00CA6613"/>
    <w:rsid w:val="00CC25D0"/>
    <w:rsid w:val="00CC46E8"/>
    <w:rsid w:val="00CC69AD"/>
    <w:rsid w:val="00CD4F63"/>
    <w:rsid w:val="00CF1664"/>
    <w:rsid w:val="00CF5A8A"/>
    <w:rsid w:val="00D01278"/>
    <w:rsid w:val="00D05CD2"/>
    <w:rsid w:val="00D12AB1"/>
    <w:rsid w:val="00D210DE"/>
    <w:rsid w:val="00D23B36"/>
    <w:rsid w:val="00D254F9"/>
    <w:rsid w:val="00D27AEB"/>
    <w:rsid w:val="00D53BAE"/>
    <w:rsid w:val="00D57112"/>
    <w:rsid w:val="00D57DBA"/>
    <w:rsid w:val="00D57EBC"/>
    <w:rsid w:val="00D64977"/>
    <w:rsid w:val="00D66472"/>
    <w:rsid w:val="00D677A5"/>
    <w:rsid w:val="00D71F76"/>
    <w:rsid w:val="00D77095"/>
    <w:rsid w:val="00D80573"/>
    <w:rsid w:val="00D94BB1"/>
    <w:rsid w:val="00D961C9"/>
    <w:rsid w:val="00D97B80"/>
    <w:rsid w:val="00DA1D73"/>
    <w:rsid w:val="00DB2761"/>
    <w:rsid w:val="00DB2FF6"/>
    <w:rsid w:val="00DD0E0C"/>
    <w:rsid w:val="00DD7765"/>
    <w:rsid w:val="00DE522D"/>
    <w:rsid w:val="00DF5EDC"/>
    <w:rsid w:val="00E06974"/>
    <w:rsid w:val="00E23955"/>
    <w:rsid w:val="00E340CC"/>
    <w:rsid w:val="00E417DF"/>
    <w:rsid w:val="00E42989"/>
    <w:rsid w:val="00E47327"/>
    <w:rsid w:val="00E66815"/>
    <w:rsid w:val="00E7385D"/>
    <w:rsid w:val="00E86579"/>
    <w:rsid w:val="00E90A19"/>
    <w:rsid w:val="00E974F8"/>
    <w:rsid w:val="00EA2758"/>
    <w:rsid w:val="00EA38E5"/>
    <w:rsid w:val="00EA79DA"/>
    <w:rsid w:val="00EC1274"/>
    <w:rsid w:val="00EC3217"/>
    <w:rsid w:val="00EC636E"/>
    <w:rsid w:val="00EC7E55"/>
    <w:rsid w:val="00ED6F93"/>
    <w:rsid w:val="00EE7984"/>
    <w:rsid w:val="00EE7CB8"/>
    <w:rsid w:val="00EF16FB"/>
    <w:rsid w:val="00F02216"/>
    <w:rsid w:val="00F0291C"/>
    <w:rsid w:val="00F101DD"/>
    <w:rsid w:val="00F14193"/>
    <w:rsid w:val="00F14D59"/>
    <w:rsid w:val="00F1733A"/>
    <w:rsid w:val="00F20CCE"/>
    <w:rsid w:val="00F3614E"/>
    <w:rsid w:val="00F372D2"/>
    <w:rsid w:val="00F56870"/>
    <w:rsid w:val="00F576E0"/>
    <w:rsid w:val="00F6440C"/>
    <w:rsid w:val="00F87813"/>
    <w:rsid w:val="00F901CF"/>
    <w:rsid w:val="00F90205"/>
    <w:rsid w:val="00F906EF"/>
    <w:rsid w:val="00FA0E87"/>
    <w:rsid w:val="00FB1FA1"/>
    <w:rsid w:val="00FB33FD"/>
    <w:rsid w:val="00FB645E"/>
    <w:rsid w:val="00FC35ED"/>
    <w:rsid w:val="00FD6CD9"/>
    <w:rsid w:val="00FE20D9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DD3DF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B1591"/>
    <w:pPr>
      <w:spacing w:after="240"/>
      <w:jc w:val="both"/>
    </w:pPr>
    <w:rPr>
      <w:sz w:val="24"/>
      <w:szCs w:val="24"/>
      <w:lang w:val="en-GB" w:bidi="ar-AE"/>
    </w:rPr>
  </w:style>
  <w:style w:type="paragraph" w:styleId="Heading1">
    <w:name w:val="heading 1"/>
    <w:basedOn w:val="Normal"/>
    <w:next w:val="Normal"/>
    <w:link w:val="Heading1Char"/>
    <w:qFormat/>
    <w:pPr>
      <w:outlineLvl w:val="0"/>
    </w:pPr>
    <w:rPr>
      <w:rFonts w:cs="Simplified Arabic"/>
    </w:rPr>
  </w:style>
  <w:style w:type="paragraph" w:styleId="Heading2">
    <w:name w:val="heading 2"/>
    <w:basedOn w:val="Normal"/>
    <w:next w:val="BodyText"/>
    <w:link w:val="Heading2Char"/>
    <w:qFormat/>
    <w:pPr>
      <w:outlineLvl w:val="1"/>
    </w:pPr>
    <w:rPr>
      <w:rFonts w:cs="Simplified Arabic"/>
    </w:rPr>
  </w:style>
  <w:style w:type="paragraph" w:styleId="Heading3">
    <w:name w:val="heading 3"/>
    <w:basedOn w:val="Heading2"/>
    <w:next w:val="BodyText"/>
    <w:link w:val="Heading3Char"/>
    <w:qFormat/>
    <w:pPr>
      <w:outlineLvl w:val="2"/>
    </w:pPr>
  </w:style>
  <w:style w:type="paragraph" w:styleId="Heading4">
    <w:name w:val="heading 4"/>
    <w:basedOn w:val="Normal"/>
    <w:next w:val="BodyText"/>
    <w:link w:val="Heading4Char"/>
    <w:qFormat/>
    <w:pPr>
      <w:outlineLvl w:val="3"/>
    </w:pPr>
    <w:rPr>
      <w:rFonts w:cs="Simplified Arabic"/>
    </w:rPr>
  </w:style>
  <w:style w:type="paragraph" w:styleId="Heading5">
    <w:name w:val="heading 5"/>
    <w:basedOn w:val="Normal"/>
    <w:next w:val="BodyText"/>
    <w:link w:val="Heading5Char"/>
    <w:qFormat/>
    <w:pPr>
      <w:outlineLvl w:val="4"/>
    </w:pPr>
    <w:rPr>
      <w:rFonts w:cs="Simplified Arabic"/>
    </w:rPr>
  </w:style>
  <w:style w:type="paragraph" w:styleId="Heading6">
    <w:name w:val="heading 6"/>
    <w:basedOn w:val="Normal"/>
    <w:next w:val="BodyText"/>
    <w:link w:val="Heading6Char"/>
    <w:qFormat/>
    <w:pPr>
      <w:outlineLvl w:val="5"/>
    </w:pPr>
    <w:rPr>
      <w:rFonts w:cs="Simplified Arabic"/>
    </w:rPr>
  </w:style>
  <w:style w:type="paragraph" w:styleId="Heading7">
    <w:name w:val="heading 7"/>
    <w:basedOn w:val="Normal"/>
    <w:next w:val="BodyText"/>
    <w:link w:val="Heading7Char"/>
    <w:qFormat/>
    <w:pPr>
      <w:outlineLvl w:val="6"/>
    </w:pPr>
    <w:rPr>
      <w:rFonts w:cs="Simplified Arabic"/>
    </w:rPr>
  </w:style>
  <w:style w:type="paragraph" w:styleId="Heading8">
    <w:name w:val="heading 8"/>
    <w:basedOn w:val="Normal"/>
    <w:next w:val="BodyText"/>
    <w:link w:val="Heading8Char"/>
    <w:qFormat/>
    <w:pPr>
      <w:outlineLvl w:val="7"/>
    </w:pPr>
    <w:rPr>
      <w:rFonts w:cs="Simplified Arabic"/>
    </w:rPr>
  </w:style>
  <w:style w:type="paragraph" w:styleId="Heading9">
    <w:name w:val="heading 9"/>
    <w:basedOn w:val="Normal"/>
    <w:next w:val="BodyText"/>
    <w:link w:val="Heading9Char"/>
    <w:qFormat/>
    <w:pPr>
      <w:outlineLvl w:val="8"/>
    </w:pPr>
    <w:rPr>
      <w:rFonts w:cs="Simplified Arab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character" w:customStyle="1" w:styleId="MacroTextChar">
    <w:name w:val="Macro Text Char"/>
    <w:link w:val="MacroText"/>
    <w:rPr>
      <w:rFonts w:ascii="Courier New" w:hAnsi="Courier New" w:cs="Courier New"/>
      <w:lang w:val="en-GB" w:eastAsia="zh-CN" w:bidi="ar-AE"/>
    </w:rPr>
  </w:style>
  <w:style w:type="character" w:customStyle="1" w:styleId="Heading1Char">
    <w:name w:val="Heading 1 Char"/>
    <w:link w:val="Heading1"/>
    <w:rPr>
      <w:sz w:val="24"/>
      <w:szCs w:val="24"/>
      <w:lang w:bidi="ar-AE"/>
    </w:rPr>
  </w:style>
  <w:style w:type="character" w:customStyle="1" w:styleId="Heading2Char">
    <w:name w:val="Heading 2 Char"/>
    <w:link w:val="Heading2"/>
    <w:rPr>
      <w:sz w:val="24"/>
      <w:szCs w:val="24"/>
      <w:lang w:bidi="ar-AE"/>
    </w:rPr>
  </w:style>
  <w:style w:type="paragraph" w:styleId="BodyText">
    <w:name w:val="Body Text"/>
    <w:basedOn w:val="Normal"/>
    <w:link w:val="BodyTextChar"/>
    <w:rPr>
      <w:rFonts w:cs="Simplified Arabic"/>
      <w:lang w:eastAsia="en-GB"/>
    </w:rPr>
  </w:style>
  <w:style w:type="character" w:customStyle="1" w:styleId="BodyTextChar">
    <w:name w:val="Body Text Char"/>
    <w:link w:val="BodyText"/>
    <w:rPr>
      <w:sz w:val="24"/>
      <w:szCs w:val="24"/>
      <w:lang w:eastAsia="en-GB" w:bidi="ar-AE"/>
    </w:rPr>
  </w:style>
  <w:style w:type="character" w:customStyle="1" w:styleId="Heading3Char">
    <w:name w:val="Heading 3 Char"/>
    <w:link w:val="Heading3"/>
    <w:rPr>
      <w:sz w:val="24"/>
      <w:szCs w:val="24"/>
      <w:lang w:bidi="ar-AE"/>
    </w:rPr>
  </w:style>
  <w:style w:type="character" w:customStyle="1" w:styleId="Heading4Char">
    <w:name w:val="Heading 4 Char"/>
    <w:link w:val="Heading4"/>
    <w:rPr>
      <w:sz w:val="24"/>
      <w:szCs w:val="24"/>
      <w:lang w:bidi="ar-AE"/>
    </w:rPr>
  </w:style>
  <w:style w:type="character" w:customStyle="1" w:styleId="Heading5Char">
    <w:name w:val="Heading 5 Char"/>
    <w:link w:val="Heading5"/>
    <w:rPr>
      <w:sz w:val="24"/>
      <w:szCs w:val="24"/>
      <w:lang w:bidi="ar-AE"/>
    </w:rPr>
  </w:style>
  <w:style w:type="character" w:customStyle="1" w:styleId="Heading6Char">
    <w:name w:val="Heading 6 Char"/>
    <w:link w:val="Heading6"/>
    <w:rPr>
      <w:sz w:val="24"/>
      <w:szCs w:val="24"/>
      <w:lang w:bidi="ar-AE"/>
    </w:rPr>
  </w:style>
  <w:style w:type="character" w:customStyle="1" w:styleId="Heading7Char">
    <w:name w:val="Heading 7 Char"/>
    <w:link w:val="Heading7"/>
    <w:rPr>
      <w:sz w:val="24"/>
      <w:szCs w:val="24"/>
      <w:lang w:bidi="ar-AE"/>
    </w:rPr>
  </w:style>
  <w:style w:type="character" w:customStyle="1" w:styleId="Heading8Char">
    <w:name w:val="Heading 8 Char"/>
    <w:link w:val="Heading8"/>
    <w:rPr>
      <w:sz w:val="24"/>
      <w:szCs w:val="24"/>
      <w:lang w:bidi="ar-AE"/>
    </w:rPr>
  </w:style>
  <w:style w:type="character" w:customStyle="1" w:styleId="Heading9Char">
    <w:name w:val="Heading 9 Char"/>
    <w:link w:val="Heading9"/>
    <w:rPr>
      <w:sz w:val="24"/>
      <w:szCs w:val="24"/>
      <w:lang w:bidi="ar-AE"/>
    </w:rPr>
  </w:style>
  <w:style w:type="paragraph" w:styleId="List3">
    <w:name w:val="List 3"/>
    <w:basedOn w:val="Normal"/>
    <w:pPr>
      <w:ind w:left="1080" w:hanging="360"/>
      <w:contextualSpacing/>
    </w:pPr>
  </w:style>
  <w:style w:type="paragraph" w:styleId="TOC7">
    <w:name w:val="toc 7"/>
    <w:basedOn w:val="Normal"/>
    <w:next w:val="Normal"/>
    <w:pPr>
      <w:ind w:left="1440"/>
    </w:pPr>
  </w:style>
  <w:style w:type="paragraph" w:styleId="TableofAuthorities">
    <w:name w:val="table of authorities"/>
    <w:basedOn w:val="Normal"/>
    <w:next w:val="Normal"/>
    <w:pPr>
      <w:ind w:left="240" w:hanging="240"/>
    </w:pPr>
  </w:style>
  <w:style w:type="paragraph" w:styleId="NoteHeading">
    <w:name w:val="Note Heading"/>
    <w:basedOn w:val="Normal"/>
    <w:next w:val="Normal"/>
    <w:link w:val="NoteHeadingChar"/>
    <w:rPr>
      <w:rFonts w:cs="Simplified Arabic"/>
    </w:rPr>
  </w:style>
  <w:style w:type="character" w:customStyle="1" w:styleId="NoteHeadingChar">
    <w:name w:val="Note Heading Char"/>
    <w:link w:val="NoteHeading"/>
    <w:rPr>
      <w:sz w:val="24"/>
      <w:szCs w:val="24"/>
      <w:lang w:bidi="ar-AE"/>
    </w:rPr>
  </w:style>
  <w:style w:type="paragraph" w:styleId="Index8">
    <w:name w:val="index 8"/>
    <w:basedOn w:val="Normal"/>
    <w:next w:val="Normal"/>
    <w:pPr>
      <w:ind w:left="1920" w:hanging="240"/>
    </w:pPr>
  </w:style>
  <w:style w:type="paragraph" w:styleId="E-mailSignature">
    <w:name w:val="E-mail Signature"/>
    <w:basedOn w:val="Normal"/>
    <w:link w:val="E-mailSignatureChar"/>
    <w:rPr>
      <w:rFonts w:cs="Simplified Arabic"/>
    </w:rPr>
  </w:style>
  <w:style w:type="character" w:customStyle="1" w:styleId="E-mailSignatureChar">
    <w:name w:val="E-mail Signature Char"/>
    <w:link w:val="E-mailSignature"/>
    <w:rPr>
      <w:sz w:val="24"/>
      <w:szCs w:val="24"/>
      <w:lang w:bidi="ar-AE"/>
    </w:rPr>
  </w:style>
  <w:style w:type="paragraph" w:styleId="NormalIndent">
    <w:name w:val="Normal Indent"/>
    <w:basedOn w:val="Normal"/>
    <w:pPr>
      <w:ind w:left="720"/>
    </w:pPr>
  </w:style>
  <w:style w:type="paragraph" w:styleId="Caption">
    <w:name w:val="caption"/>
    <w:basedOn w:val="Normal"/>
    <w:next w:val="Normal"/>
    <w:qFormat/>
    <w:rPr>
      <w:b/>
      <w:bCs/>
      <w:sz w:val="20"/>
      <w:szCs w:val="20"/>
    </w:rPr>
  </w:style>
  <w:style w:type="paragraph" w:styleId="Index5">
    <w:name w:val="index 5"/>
    <w:basedOn w:val="Normal"/>
    <w:next w:val="Normal"/>
    <w:pPr>
      <w:ind w:left="1200" w:hanging="240"/>
    </w:p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DocumentMap">
    <w:name w:val="Document Map"/>
    <w:basedOn w:val="Normal"/>
    <w:link w:val="DocumentMapChar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Pr>
      <w:rFonts w:ascii="Tahoma" w:hAnsi="Tahoma" w:cs="Tahoma"/>
      <w:sz w:val="16"/>
      <w:szCs w:val="16"/>
      <w:lang w:bidi="ar-AE"/>
    </w:rPr>
  </w:style>
  <w:style w:type="paragraph" w:styleId="TOAHeading">
    <w:name w:val="toa heading"/>
    <w:basedOn w:val="Normal"/>
    <w:next w:val="Normal"/>
    <w:pPr>
      <w:spacing w:before="120"/>
    </w:pPr>
    <w:rPr>
      <w:rFonts w:cs="Simplified Arabic"/>
      <w:b/>
      <w:bCs/>
    </w:rPr>
  </w:style>
  <w:style w:type="paragraph" w:styleId="CommentText">
    <w:name w:val="annotation text"/>
    <w:basedOn w:val="Normal"/>
    <w:link w:val="CommentTextChar"/>
    <w:pPr>
      <w:spacing w:after="120"/>
    </w:pPr>
    <w:rPr>
      <w:rFonts w:cs="Simplified Arabic"/>
      <w:sz w:val="20"/>
      <w:szCs w:val="20"/>
    </w:rPr>
  </w:style>
  <w:style w:type="character" w:customStyle="1" w:styleId="CommentTextChar">
    <w:name w:val="Comment Text Char"/>
    <w:link w:val="CommentText"/>
    <w:rPr>
      <w:lang w:bidi="ar-AE"/>
    </w:rPr>
  </w:style>
  <w:style w:type="paragraph" w:styleId="Index6">
    <w:name w:val="index 6"/>
    <w:basedOn w:val="Normal"/>
    <w:next w:val="Normal"/>
    <w:pPr>
      <w:ind w:left="1440" w:hanging="240"/>
    </w:pPr>
  </w:style>
  <w:style w:type="paragraph" w:styleId="Salutation">
    <w:name w:val="Salutation"/>
    <w:basedOn w:val="Normal"/>
    <w:next w:val="Normal"/>
    <w:link w:val="SalutationChar"/>
    <w:rPr>
      <w:rFonts w:cs="Simplified Arabic"/>
    </w:rPr>
  </w:style>
  <w:style w:type="character" w:customStyle="1" w:styleId="SalutationChar">
    <w:name w:val="Salutation Char"/>
    <w:link w:val="Salutation"/>
    <w:rPr>
      <w:sz w:val="24"/>
      <w:szCs w:val="24"/>
      <w:lang w:bidi="ar-AE"/>
    </w:rPr>
  </w:style>
  <w:style w:type="paragraph" w:styleId="BodyText3">
    <w:name w:val="Body Text 3"/>
    <w:basedOn w:val="Normal"/>
    <w:link w:val="BodyText3Char"/>
    <w:pPr>
      <w:ind w:left="2160"/>
    </w:pPr>
    <w:rPr>
      <w:rFonts w:cs="Simplified Arabic"/>
      <w:lang w:eastAsia="en-GB"/>
    </w:rPr>
  </w:style>
  <w:style w:type="character" w:customStyle="1" w:styleId="BodyText3Char">
    <w:name w:val="Body Text 3 Char"/>
    <w:link w:val="BodyText3"/>
    <w:rPr>
      <w:sz w:val="24"/>
      <w:szCs w:val="24"/>
      <w:lang w:eastAsia="en-GB" w:bidi="ar-AE"/>
    </w:rPr>
  </w:style>
  <w:style w:type="paragraph" w:styleId="Closing">
    <w:name w:val="Closing"/>
    <w:basedOn w:val="Normal"/>
    <w:link w:val="ClosingChar"/>
    <w:pPr>
      <w:ind w:left="4320"/>
    </w:pPr>
    <w:rPr>
      <w:rFonts w:cs="Simplified Arabic"/>
    </w:rPr>
  </w:style>
  <w:style w:type="character" w:customStyle="1" w:styleId="ClosingChar">
    <w:name w:val="Closing Char"/>
    <w:link w:val="Closing"/>
    <w:rPr>
      <w:sz w:val="24"/>
      <w:szCs w:val="24"/>
      <w:lang w:bidi="ar-AE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  <w:rPr>
      <w:rFonts w:cs="Simplified Arabic"/>
    </w:rPr>
  </w:style>
  <w:style w:type="character" w:customStyle="1" w:styleId="BodyTextIndentChar">
    <w:name w:val="Body Text Indent Char"/>
    <w:link w:val="BodyTextIndent"/>
    <w:rPr>
      <w:sz w:val="24"/>
      <w:szCs w:val="24"/>
      <w:lang w:bidi="ar-AE"/>
    </w:rPr>
  </w:style>
  <w:style w:type="paragraph" w:styleId="List2">
    <w:name w:val="List 2"/>
    <w:basedOn w:val="Normal"/>
    <w:pPr>
      <w:ind w:left="720" w:hanging="360"/>
      <w:contextualSpacing/>
    </w:pPr>
  </w:style>
  <w:style w:type="paragraph" w:styleId="ListContinue">
    <w:name w:val="List Continue"/>
    <w:basedOn w:val="Normal"/>
    <w:pPr>
      <w:spacing w:after="120"/>
      <w:ind w:left="360"/>
      <w:contextualSpacing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HTMLAddress">
    <w:name w:val="HTML Address"/>
    <w:basedOn w:val="Normal"/>
    <w:link w:val="HTMLAddressChar"/>
    <w:rPr>
      <w:rFonts w:cs="Simplified Arabic"/>
      <w:i/>
      <w:iCs/>
    </w:rPr>
  </w:style>
  <w:style w:type="character" w:customStyle="1" w:styleId="HTMLAddressChar">
    <w:name w:val="HTML Address Char"/>
    <w:link w:val="HTMLAddress"/>
    <w:rPr>
      <w:i/>
      <w:iCs/>
      <w:sz w:val="24"/>
      <w:szCs w:val="24"/>
      <w:lang w:bidi="ar-AE"/>
    </w:rPr>
  </w:style>
  <w:style w:type="paragraph" w:styleId="Index4">
    <w:name w:val="index 4"/>
    <w:basedOn w:val="Normal"/>
    <w:next w:val="Normal"/>
    <w:pPr>
      <w:ind w:left="960" w:hanging="240"/>
    </w:pPr>
  </w:style>
  <w:style w:type="paragraph" w:styleId="TOC5">
    <w:name w:val="toc 5"/>
    <w:basedOn w:val="Normal"/>
    <w:next w:val="Normal"/>
    <w:pPr>
      <w:ind w:left="960"/>
    </w:pPr>
  </w:style>
  <w:style w:type="paragraph" w:styleId="TOC3">
    <w:name w:val="toc 3"/>
    <w:basedOn w:val="Normal"/>
    <w:next w:val="Normal"/>
    <w:pPr>
      <w:ind w:left="480"/>
    </w:pPr>
  </w:style>
  <w:style w:type="paragraph" w:styleId="PlainText">
    <w:name w:val="Plain Text"/>
    <w:basedOn w:val="Normal"/>
    <w:link w:val="PlainTextChar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Pr>
      <w:rFonts w:ascii="Courier New" w:hAnsi="Courier New" w:cs="Courier New"/>
      <w:lang w:bidi="ar-AE"/>
    </w:rPr>
  </w:style>
  <w:style w:type="paragraph" w:styleId="TOC8">
    <w:name w:val="toc 8"/>
    <w:basedOn w:val="Normal"/>
    <w:next w:val="Normal"/>
    <w:pPr>
      <w:ind w:left="1680"/>
    </w:pPr>
  </w:style>
  <w:style w:type="paragraph" w:styleId="Index3">
    <w:name w:val="index 3"/>
    <w:basedOn w:val="Normal"/>
    <w:next w:val="Normal"/>
    <w:pPr>
      <w:ind w:left="720" w:hanging="240"/>
    </w:pPr>
  </w:style>
  <w:style w:type="paragraph" w:styleId="Date">
    <w:name w:val="Date"/>
    <w:basedOn w:val="Normal"/>
    <w:next w:val="Normal"/>
    <w:link w:val="DateChar"/>
    <w:rPr>
      <w:rFonts w:cs="Simplified Arabic"/>
    </w:rPr>
  </w:style>
  <w:style w:type="character" w:customStyle="1" w:styleId="DateChar">
    <w:name w:val="Date Char"/>
    <w:link w:val="Date"/>
    <w:rPr>
      <w:sz w:val="24"/>
      <w:szCs w:val="24"/>
      <w:lang w:bidi="ar-AE"/>
    </w:rPr>
  </w:style>
  <w:style w:type="paragraph" w:styleId="BodyTextIndent2">
    <w:name w:val="Body Text Indent 2"/>
    <w:basedOn w:val="Normal"/>
    <w:link w:val="BodyTextIndent2Char"/>
    <w:pPr>
      <w:spacing w:after="120"/>
      <w:ind w:left="360"/>
    </w:pPr>
    <w:rPr>
      <w:rFonts w:cs="Simplified Arabic"/>
    </w:rPr>
  </w:style>
  <w:style w:type="character" w:customStyle="1" w:styleId="BodyTextIndent2Char">
    <w:name w:val="Body Text Indent 2 Char"/>
    <w:link w:val="BodyTextIndent2"/>
    <w:rPr>
      <w:sz w:val="24"/>
      <w:szCs w:val="24"/>
      <w:lang w:bidi="ar-AE"/>
    </w:rPr>
  </w:style>
  <w:style w:type="paragraph" w:styleId="EndnoteText">
    <w:name w:val="endnote text"/>
    <w:basedOn w:val="Normal"/>
    <w:next w:val="Normal"/>
    <w:link w:val="End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EndnoteTextChar">
    <w:name w:val="Endnote Text Char"/>
    <w:link w:val="EndnoteText"/>
    <w:rPr>
      <w:lang w:bidi="ar-AE"/>
    </w:rPr>
  </w:style>
  <w:style w:type="paragraph" w:styleId="ListContinue5">
    <w:name w:val="List Continue 5"/>
    <w:basedOn w:val="Normal"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Pr>
      <w:rFonts w:ascii="Tahoma" w:hAnsi="Tahoma" w:cs="Tahoma"/>
      <w:sz w:val="16"/>
      <w:szCs w:val="16"/>
      <w:lang w:bidi="ar-AE"/>
    </w:rPr>
  </w:style>
  <w:style w:type="paragraph" w:styleId="Footer">
    <w:name w:val="footer"/>
    <w:link w:val="FooterChar"/>
    <w:rPr>
      <w:sz w:val="16"/>
      <w:szCs w:val="16"/>
      <w:lang w:val="en-GB" w:bidi="he-IL"/>
    </w:rPr>
  </w:style>
  <w:style w:type="character" w:customStyle="1" w:styleId="FooterChar">
    <w:name w:val="Footer Char"/>
    <w:link w:val="Footer"/>
    <w:rPr>
      <w:sz w:val="16"/>
      <w:szCs w:val="16"/>
      <w:lang w:val="en-GB" w:eastAsia="zh-CN" w:bidi="he-IL"/>
    </w:rPr>
  </w:style>
  <w:style w:type="paragraph" w:styleId="EnvelopeReturn">
    <w:name w:val="envelope return"/>
    <w:basedOn w:val="Normal"/>
    <w:rPr>
      <w:rFonts w:cs="Simplified Arabic"/>
      <w:sz w:val="20"/>
      <w:szCs w:val="20"/>
    </w:rPr>
  </w:style>
  <w:style w:type="paragraph" w:styleId="Header">
    <w:name w:val="header"/>
    <w:link w:val="HeaderChar"/>
    <w:uiPriority w:val="99"/>
    <w:pPr>
      <w:jc w:val="both"/>
    </w:pPr>
    <w:rPr>
      <w:sz w:val="24"/>
      <w:szCs w:val="24"/>
      <w:lang w:val="en-GB" w:bidi="he-IL"/>
    </w:rPr>
  </w:style>
  <w:style w:type="character" w:customStyle="1" w:styleId="HeaderChar">
    <w:name w:val="Header Char"/>
    <w:link w:val="Header"/>
    <w:uiPriority w:val="99"/>
    <w:rPr>
      <w:sz w:val="24"/>
      <w:szCs w:val="24"/>
      <w:lang w:val="en-GB" w:eastAsia="zh-CN" w:bidi="he-IL"/>
    </w:rPr>
  </w:style>
  <w:style w:type="paragraph" w:styleId="Signature">
    <w:name w:val="Signature"/>
    <w:basedOn w:val="Normal"/>
    <w:link w:val="SignatureChar"/>
    <w:pPr>
      <w:ind w:left="4320"/>
    </w:pPr>
    <w:rPr>
      <w:rFonts w:cs="Simplified Arabic"/>
    </w:rPr>
  </w:style>
  <w:style w:type="character" w:customStyle="1" w:styleId="SignatureChar">
    <w:name w:val="Signature Char"/>
    <w:link w:val="Signature"/>
    <w:rPr>
      <w:sz w:val="24"/>
      <w:szCs w:val="24"/>
      <w:lang w:bidi="ar-AE"/>
    </w:rPr>
  </w:style>
  <w:style w:type="paragraph" w:styleId="TOC1">
    <w:name w:val="toc 1"/>
    <w:basedOn w:val="Normal"/>
    <w:next w:val="BodyText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ListContinue4">
    <w:name w:val="List Continue 4"/>
    <w:basedOn w:val="Normal"/>
    <w:pPr>
      <w:spacing w:after="120"/>
      <w:ind w:left="1440"/>
      <w:contextualSpacing/>
    </w:pPr>
  </w:style>
  <w:style w:type="paragraph" w:styleId="TOC4">
    <w:name w:val="toc 4"/>
    <w:basedOn w:val="Normal"/>
    <w:next w:val="Normal"/>
    <w:pPr>
      <w:ind w:left="720"/>
    </w:pPr>
  </w:style>
  <w:style w:type="paragraph" w:styleId="IndexHeading">
    <w:name w:val="index heading"/>
    <w:basedOn w:val="Normal"/>
    <w:next w:val="Normal"/>
    <w:rPr>
      <w:b/>
      <w:bCs/>
    </w:rPr>
  </w:style>
  <w:style w:type="paragraph" w:styleId="Subtitle">
    <w:name w:val="Subtitle"/>
    <w:basedOn w:val="Normal"/>
    <w:next w:val="BodyText"/>
    <w:link w:val="SubtitleChar"/>
    <w:qFormat/>
    <w:pPr>
      <w:jc w:val="center"/>
    </w:pPr>
    <w:rPr>
      <w:rFonts w:cs="Simplified Arabic"/>
    </w:rPr>
  </w:style>
  <w:style w:type="character" w:customStyle="1" w:styleId="SubtitleChar">
    <w:name w:val="Subtitle Char"/>
    <w:link w:val="Subtitle"/>
    <w:rPr>
      <w:sz w:val="24"/>
      <w:szCs w:val="24"/>
      <w:lang w:bidi="ar-AE"/>
    </w:rPr>
  </w:style>
  <w:style w:type="paragraph" w:styleId="List">
    <w:name w:val="List"/>
    <w:basedOn w:val="Normal"/>
    <w:pPr>
      <w:ind w:left="360" w:hanging="360"/>
      <w:contextualSpacing/>
    </w:pPr>
  </w:style>
  <w:style w:type="paragraph" w:styleId="FootnoteText">
    <w:name w:val="footnote text"/>
    <w:basedOn w:val="Normal"/>
    <w:next w:val="Normal"/>
    <w:link w:val="Foot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FootnoteTextChar">
    <w:name w:val="Footnote Text Char"/>
    <w:link w:val="FootnoteText"/>
    <w:rPr>
      <w:lang w:bidi="ar-AE"/>
    </w:rPr>
  </w:style>
  <w:style w:type="paragraph" w:styleId="TOC6">
    <w:name w:val="toc 6"/>
    <w:basedOn w:val="Normal"/>
    <w:next w:val="Normal"/>
    <w:pPr>
      <w:ind w:left="1200"/>
    </w:pPr>
  </w:style>
  <w:style w:type="paragraph" w:styleId="List5">
    <w:name w:val="List 5"/>
    <w:basedOn w:val="Normal"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BodyTextIndent3Char">
    <w:name w:val="Body Text Indent 3 Char"/>
    <w:link w:val="BodyTextIndent3"/>
    <w:rPr>
      <w:sz w:val="16"/>
      <w:szCs w:val="16"/>
      <w:lang w:bidi="ar-AE"/>
    </w:rPr>
  </w:style>
  <w:style w:type="paragraph" w:styleId="Index7">
    <w:name w:val="index 7"/>
    <w:basedOn w:val="Normal"/>
    <w:next w:val="Normal"/>
    <w:pPr>
      <w:ind w:left="1680" w:hanging="240"/>
    </w:pPr>
  </w:style>
  <w:style w:type="paragraph" w:styleId="Index9">
    <w:name w:val="index 9"/>
    <w:basedOn w:val="Normal"/>
    <w:next w:val="Normal"/>
    <w:pPr>
      <w:ind w:left="2160" w:hanging="240"/>
    </w:pPr>
  </w:style>
  <w:style w:type="paragraph" w:styleId="TableofFigures">
    <w:name w:val="table of figures"/>
    <w:basedOn w:val="Normal"/>
    <w:next w:val="Normal"/>
  </w:style>
  <w:style w:type="paragraph" w:styleId="TOC2">
    <w:name w:val="toc 2"/>
    <w:basedOn w:val="Normal"/>
    <w:next w:val="BodyText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Normal"/>
    <w:next w:val="Normal"/>
    <w:pPr>
      <w:ind w:left="1920"/>
    </w:pPr>
  </w:style>
  <w:style w:type="paragraph" w:styleId="BodyText2">
    <w:name w:val="Body Text 2"/>
    <w:basedOn w:val="Normal"/>
    <w:link w:val="BodyText2Char"/>
    <w:pPr>
      <w:ind w:left="1440"/>
    </w:pPr>
    <w:rPr>
      <w:rFonts w:cs="Simplified Arabic"/>
      <w:lang w:eastAsia="en-GB"/>
    </w:rPr>
  </w:style>
  <w:style w:type="character" w:customStyle="1" w:styleId="BodyText2Char">
    <w:name w:val="Body Text 2 Char"/>
    <w:link w:val="BodyText2"/>
    <w:rPr>
      <w:sz w:val="24"/>
      <w:szCs w:val="24"/>
      <w:lang w:eastAsia="en-GB" w:bidi="ar-AE"/>
    </w:rPr>
  </w:style>
  <w:style w:type="paragraph" w:styleId="List4">
    <w:name w:val="List 4"/>
    <w:basedOn w:val="Normal"/>
    <w:pPr>
      <w:ind w:left="1440" w:hanging="360"/>
      <w:contextualSpacing/>
    </w:pPr>
  </w:style>
  <w:style w:type="paragraph" w:styleId="ListContinue2">
    <w:name w:val="List Continue 2"/>
    <w:basedOn w:val="Normal"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MessageHeaderChar">
    <w:name w:val="Message Header Char"/>
    <w:link w:val="MessageHeader"/>
    <w:rPr>
      <w:rFonts w:ascii="Times New Roman" w:eastAsia="SimSun" w:hAnsi="Times New Roman" w:cs="Simplified Arabic"/>
      <w:sz w:val="24"/>
      <w:szCs w:val="24"/>
      <w:shd w:val="pct20" w:color="auto" w:fill="auto"/>
      <w:lang w:bidi="ar-AE"/>
    </w:rPr>
  </w:style>
  <w:style w:type="paragraph" w:styleId="HTMLPreformatted">
    <w:name w:val="HTML Preformatted"/>
    <w:basedOn w:val="Normal"/>
    <w:link w:val="HTMLPreformattedChar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Pr>
      <w:rFonts w:ascii="Courier New" w:hAnsi="Courier New" w:cs="Courier New"/>
      <w:lang w:bidi="ar-AE"/>
    </w:rPr>
  </w:style>
  <w:style w:type="paragraph" w:styleId="NormalWeb">
    <w:name w:val="Normal (Web)"/>
    <w:basedOn w:val="Normal"/>
  </w:style>
  <w:style w:type="paragraph" w:styleId="ListContinue3">
    <w:name w:val="List Continue 3"/>
    <w:basedOn w:val="Normal"/>
    <w:pPr>
      <w:spacing w:after="120"/>
      <w:ind w:left="1080"/>
      <w:contextualSpacing/>
    </w:pPr>
  </w:style>
  <w:style w:type="paragraph" w:styleId="Index1">
    <w:name w:val="index 1"/>
    <w:basedOn w:val="Normal"/>
    <w:next w:val="Normal"/>
    <w:pPr>
      <w:ind w:left="240" w:hanging="240"/>
    </w:pPr>
  </w:style>
  <w:style w:type="paragraph" w:styleId="Index2">
    <w:name w:val="index 2"/>
    <w:basedOn w:val="Normal"/>
    <w:next w:val="Normal"/>
    <w:pPr>
      <w:ind w:left="480" w:hanging="240"/>
    </w:pPr>
  </w:style>
  <w:style w:type="paragraph" w:styleId="Title">
    <w:name w:val="Title"/>
    <w:basedOn w:val="Normal"/>
    <w:next w:val="BodyText"/>
    <w:link w:val="TitleChar"/>
    <w:qFormat/>
    <w:pPr>
      <w:jc w:val="center"/>
    </w:pPr>
    <w:rPr>
      <w:rFonts w:cs="Simplified Arabic"/>
      <w:b/>
      <w:bCs/>
    </w:rPr>
  </w:style>
  <w:style w:type="character" w:customStyle="1" w:styleId="TitleChar">
    <w:name w:val="Title Char"/>
    <w:link w:val="Title"/>
    <w:rPr>
      <w:b/>
      <w:bCs/>
      <w:sz w:val="24"/>
      <w:szCs w:val="24"/>
      <w:lang w:bidi="ar-AE"/>
    </w:rPr>
  </w:style>
  <w:style w:type="paragraph" w:styleId="CommentSubject">
    <w:name w:val="annotation subject"/>
    <w:basedOn w:val="CommentText"/>
    <w:next w:val="CommentText"/>
    <w:link w:val="CommentSubjectChar"/>
    <w:pPr>
      <w:spacing w:after="240"/>
    </w:pPr>
    <w:rPr>
      <w:b/>
      <w:bCs/>
    </w:rPr>
  </w:style>
  <w:style w:type="character" w:customStyle="1" w:styleId="CommentSubjectChar">
    <w:name w:val="Comment Subject Char"/>
    <w:link w:val="CommentSubject"/>
    <w:rPr>
      <w:b/>
      <w:bCs/>
      <w:lang w:bidi="ar-AE"/>
    </w:rPr>
  </w:style>
  <w:style w:type="paragraph" w:styleId="BodyTextFirstIndent">
    <w:name w:val="Body Text First Indent"/>
    <w:basedOn w:val="BodyText"/>
    <w:link w:val="BodyTextFirstIndentChar"/>
    <w:pPr>
      <w:ind w:firstLine="720"/>
    </w:pPr>
  </w:style>
  <w:style w:type="character" w:customStyle="1" w:styleId="BodyTextFirstIndentChar">
    <w:name w:val="Body Text First Indent Char"/>
    <w:link w:val="BodyTextFirstIndent"/>
    <w:rPr>
      <w:sz w:val="24"/>
      <w:szCs w:val="24"/>
      <w:lang w:eastAsia="en-GB" w:bidi="ar-AE"/>
    </w:rPr>
  </w:style>
  <w:style w:type="paragraph" w:styleId="BodyTextFirstIndent2">
    <w:name w:val="Body Text First Indent 2"/>
    <w:basedOn w:val="BodyTextFirstIndent"/>
    <w:link w:val="BodyTextFirstIndent2Char"/>
    <w:pPr>
      <w:ind w:firstLine="1440"/>
    </w:pPr>
  </w:style>
  <w:style w:type="character" w:customStyle="1" w:styleId="BodyTextFirstIndent2Char">
    <w:name w:val="Body Text First Indent 2 Char"/>
    <w:link w:val="BodyTextFirstIndent2"/>
    <w:rPr>
      <w:sz w:val="24"/>
      <w:szCs w:val="24"/>
      <w:lang w:eastAsia="en-GB" w:bidi="ar-AE"/>
    </w:r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Theme">
    <w:name w:val="Table Theme"/>
    <w:basedOn w:val="TableNormal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2">
    <w:name w:val="Table Colorful 2"/>
    <w:basedOn w:val="TableNormal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3">
    <w:name w:val="Table Colorful 3"/>
    <w:basedOn w:val="TableNormal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1">
    <w:name w:val="Table Classic 1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2">
    <w:name w:val="Table Classic 2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3">
    <w:name w:val="Table Classic 3"/>
    <w:basedOn w:val="TableNormal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4">
    <w:name w:val="Table Classic 4"/>
    <w:basedOn w:val="TableNormal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1">
    <w:name w:val="Table Simple 1"/>
    <w:basedOn w:val="TableNormal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2">
    <w:name w:val="Table Simple 2"/>
    <w:basedOn w:val="TableNormal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ubtle2">
    <w:name w:val="Table Subtle 2"/>
    <w:basedOn w:val="TableNormal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1">
    <w:name w:val="Table List 1"/>
    <w:basedOn w:val="TableNormal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2">
    <w:name w:val="Table List 2"/>
    <w:basedOn w:val="TableNormal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3">
    <w:name w:val="Table List 3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4">
    <w:name w:val="Table List 4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6">
    <w:name w:val="Table List 6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2">
    <w:name w:val="Table Columns 2"/>
    <w:basedOn w:val="TableNormal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3">
    <w:name w:val="Table Columns 3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4">
    <w:name w:val="Table Columns 4"/>
    <w:basedOn w:val="TableNormal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3">
    <w:name w:val="Table Grid 3"/>
    <w:basedOn w:val="TableNormal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5">
    <w:name w:val="Table Grid 5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1">
    <w:name w:val="Table Web 1"/>
    <w:basedOn w:val="TableNormal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2">
    <w:name w:val="Table Web 2"/>
    <w:basedOn w:val="TableNormal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3">
    <w:name w:val="Table Web 3"/>
    <w:basedOn w:val="TableNormal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LightShading-Accent2">
    <w:name w:val="Light Shading Accent 2"/>
    <w:basedOn w:val="TableNormal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3">
    <w:name w:val="Light Shading Accent 3"/>
    <w:basedOn w:val="TableNormal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4">
    <w:name w:val="Light Shading Accent 4"/>
    <w:basedOn w:val="TableNormal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5">
    <w:name w:val="Light Shading Accent 5"/>
    <w:basedOn w:val="TableNormal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LightShading-Accent6">
    <w:name w:val="Light Shading Accent 6"/>
    <w:basedOn w:val="TableNormal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LightList-Accent2">
    <w:name w:val="Light List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LightList-Accent3">
    <w:name w:val="Light List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LightList-Accent4">
    <w:name w:val="Light List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LightList-Accent5">
    <w:name w:val="Light List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LightList-Accent6">
    <w:name w:val="Light List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LightGrid-Accent2">
    <w:name w:val="Light Grid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LightGrid-Accent3">
    <w:name w:val="Light Grid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LightGrid-Accent4">
    <w:name w:val="Light Grid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LightGrid-Accent5">
    <w:name w:val="Light Grid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LightGrid-Accent6">
    <w:name w:val="Light Grid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MediumShading1-Accent2">
    <w:name w:val="Medium Shading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Shading1-Accent3">
    <w:name w:val="Medium Shading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Shading1-Accent4">
    <w:name w:val="Medium Shading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Shading1-Accent5">
    <w:name w:val="Medium Shading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Shading1-Accent6">
    <w:name w:val="Medium Shading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Shading2-Accent2">
    <w:name w:val="Medium Shading 2 Accent 2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3">
    <w:name w:val="Medium Shading 2 Accent 3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4">
    <w:name w:val="Medium Shading 2 Accent 4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5">
    <w:name w:val="Medium Shading 2 Accent 5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6">
    <w:name w:val="Medium Shading 2 Accent 6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List1-Accent2">
    <w:name w:val="Medium List 1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-Accent1">
    <w:name w:val="Medium List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MediumList2-Accent2">
    <w:name w:val="Medium List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MediumList2-Accent3">
    <w:name w:val="Medium List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MediumList2-Accent4">
    <w:name w:val="Medium List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MediumList2-Accent5">
    <w:name w:val="Medium List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MediumList2-Accent6">
    <w:name w:val="Medium List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MediumGrid1-Accent1">
    <w:name w:val="Medium Grid 1 Accent 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-Accent1">
    <w:name w:val="Medium Grid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-Accent1">
    <w:name w:val="Medium Grid 3 Accent 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DarkList-Accent1">
    <w:name w:val="Dark List Accent 1"/>
    <w:basedOn w:val="TableNormal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DarkList-Accent2">
    <w:name w:val="Dark List Accent 2"/>
    <w:basedOn w:val="TableNormal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DarkList-Accent3">
    <w:name w:val="Dark List Accent 3"/>
    <w:basedOn w:val="TableNormal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DarkList-Accent4">
    <w:name w:val="Dark List Accent 4"/>
    <w:basedOn w:val="TableNormal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DarkList-Accent5">
    <w:name w:val="Dark List Accent 5"/>
    <w:basedOn w:val="TableNormal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DarkList-Accent6">
    <w:name w:val="Dark List Accent 6"/>
    <w:basedOn w:val="TableNormal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ColorfulShading-Accent1">
    <w:name w:val="Colorful Shading Accent 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1">
    <w:name w:val="Colorful List Accent 1"/>
    <w:basedOn w:val="TableNormal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-Accent1">
    <w:name w:val="Colorful Grid Accent 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Strong">
    <w:name w:val="Strong"/>
    <w:qFormat/>
    <w:rPr>
      <w:b/>
      <w:bCs/>
    </w:rPr>
  </w:style>
  <w:style w:type="character" w:styleId="EndnoteReference">
    <w:name w:val="endnote reference"/>
    <w:rPr>
      <w:rFonts w:ascii="Times New Roman" w:eastAsia="SimSun" w:hAnsi="Times New Roman" w:cs="Simplified Arabic"/>
      <w:sz w:val="18"/>
      <w:szCs w:val="18"/>
      <w:vertAlign w:val="superscript"/>
      <w:lang w:val="en-GB" w:bidi="ar-AE"/>
    </w:rPr>
  </w:style>
  <w:style w:type="character" w:styleId="PageNumber">
    <w:name w:val="page number"/>
    <w:rPr>
      <w:rFonts w:ascii="Times New Roman" w:eastAsia="SimSun" w:hAnsi="Times New Roman" w:cs="Simplified Arabic"/>
      <w:sz w:val="24"/>
      <w:szCs w:val="24"/>
      <w:lang w:val="en-GB" w:bidi="ar-AE"/>
    </w:rPr>
  </w:style>
  <w:style w:type="character" w:styleId="FollowedHyperlink">
    <w:name w:val="FollowedHyperlink"/>
    <w:rPr>
      <w:color w:val="800080"/>
      <w:u w:val="single"/>
    </w:rPr>
  </w:style>
  <w:style w:type="character" w:styleId="Emphasis">
    <w:name w:val="Emphasis"/>
    <w:qFormat/>
    <w:rPr>
      <w:i/>
      <w:iCs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CommentReference">
    <w:name w:val="annotation reference"/>
    <w:rPr>
      <w:rFonts w:ascii="Times New Roman" w:eastAsia="SimSun" w:hAnsi="Times New Roman" w:cs="Simplified Arabic"/>
      <w:sz w:val="18"/>
      <w:szCs w:val="18"/>
      <w:lang w:val="en-GB" w:bidi="ar-AE"/>
    </w:rPr>
  </w:style>
  <w:style w:type="character" w:styleId="FootnoteReference">
    <w:name w:val="footnote reference"/>
    <w:rPr>
      <w:rFonts w:ascii="Times New Roman" w:eastAsia="SimSun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Normal"/>
    <w:pPr>
      <w:ind w:left="720"/>
    </w:pPr>
    <w:rPr>
      <w:lang w:eastAsia="en-GB"/>
    </w:rPr>
  </w:style>
  <w:style w:type="paragraph" w:customStyle="1" w:styleId="BodyText4">
    <w:name w:val="Body Text 4"/>
    <w:basedOn w:val="Normal"/>
    <w:pPr>
      <w:ind w:left="2880"/>
    </w:pPr>
    <w:rPr>
      <w:lang w:eastAsia="en-GB"/>
    </w:rPr>
  </w:style>
  <w:style w:type="paragraph" w:customStyle="1" w:styleId="BodyText5">
    <w:name w:val="Body Text 5"/>
    <w:basedOn w:val="Normal"/>
    <w:pPr>
      <w:ind w:left="3600"/>
    </w:pPr>
    <w:rPr>
      <w:lang w:eastAsia="en-GB"/>
    </w:rPr>
  </w:style>
  <w:style w:type="paragraph" w:customStyle="1" w:styleId="BodyText6">
    <w:name w:val="Body Text 6"/>
    <w:basedOn w:val="Normal"/>
    <w:pPr>
      <w:ind w:left="4320"/>
    </w:pPr>
    <w:rPr>
      <w:lang w:eastAsia="en-GB"/>
    </w:rPr>
  </w:style>
  <w:style w:type="paragraph" w:customStyle="1" w:styleId="BodyText7">
    <w:name w:val="Body Text 7"/>
    <w:basedOn w:val="Normal"/>
    <w:pPr>
      <w:ind w:left="5041"/>
    </w:pPr>
    <w:rPr>
      <w:lang w:eastAsia="en-GB"/>
    </w:rPr>
  </w:style>
  <w:style w:type="paragraph" w:customStyle="1" w:styleId="FooterRight">
    <w:name w:val="Footer Right"/>
    <w:basedOn w:val="Footer"/>
    <w:pPr>
      <w:jc w:val="right"/>
    </w:pPr>
  </w:style>
  <w:style w:type="paragraph" w:customStyle="1" w:styleId="Footnote">
    <w:name w:val="Footnote"/>
    <w:basedOn w:val="FootnoteText"/>
    <w:pPr>
      <w:tabs>
        <w:tab w:val="left" w:pos="340"/>
      </w:tabs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qFormat/>
    <w:pPr>
      <w:spacing w:after="0"/>
    </w:pPr>
  </w:style>
  <w:style w:type="paragraph" w:customStyle="1" w:styleId="NormalBold">
    <w:name w:val="NormalBold"/>
    <w:basedOn w:val="Normal"/>
    <w:next w:val="Normal"/>
    <w:rPr>
      <w:b/>
      <w:bCs/>
    </w:rPr>
  </w:style>
  <w:style w:type="paragraph" w:customStyle="1" w:styleId="NormalBoldNS">
    <w:name w:val="NormalBoldNS"/>
    <w:basedOn w:val="Normal"/>
    <w:next w:val="Normal"/>
    <w:pPr>
      <w:spacing w:after="0"/>
      <w:jc w:val="left"/>
    </w:pPr>
    <w:rPr>
      <w:b/>
      <w:bCs/>
    </w:rPr>
  </w:style>
  <w:style w:type="paragraph" w:customStyle="1" w:styleId="NormalNS">
    <w:name w:val="NormalNS"/>
    <w:basedOn w:val="Normal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Normal"/>
    <w:pPr>
      <w:spacing w:after="120"/>
      <w:ind w:left="340"/>
    </w:pPr>
    <w:rPr>
      <w:sz w:val="20"/>
      <w:szCs w:val="20"/>
    </w:rPr>
  </w:style>
  <w:style w:type="paragraph" w:styleId="TOCHeading">
    <w:name w:val="TOC Heading"/>
    <w:basedOn w:val="Normal"/>
    <w:next w:val="Normal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Normal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Subtitle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val="en-GB" w:bidi="ar-AE"/>
    </w:rPr>
  </w:style>
  <w:style w:type="paragraph" w:customStyle="1" w:styleId="NormalLeft">
    <w:name w:val="NormalLeft"/>
    <w:basedOn w:val="Normal"/>
    <w:next w:val="Normal"/>
    <w:pPr>
      <w:jc w:val="left"/>
    </w:pPr>
  </w:style>
  <w:style w:type="paragraph" w:styleId="Bibliography">
    <w:name w:val="Bibliography"/>
    <w:basedOn w:val="Normal"/>
    <w:next w:val="Normal"/>
  </w:style>
  <w:style w:type="table" w:customStyle="1" w:styleId="ColorfulGrid1">
    <w:name w:val="Colorful Grid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TableNormal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TableNormal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IntenseQuote">
    <w:name w:val="Intense Quote"/>
    <w:basedOn w:val="Normal"/>
    <w:next w:val="Normal"/>
    <w:link w:val="IntenseQuoteChar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IntenseQuoteChar">
    <w:name w:val="Intense Quote Char"/>
    <w:link w:val="IntenseQuote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Quote">
    <w:name w:val="Quote"/>
    <w:basedOn w:val="Normal"/>
    <w:next w:val="Normal"/>
    <w:link w:val="QuoteChar"/>
    <w:qFormat/>
    <w:rPr>
      <w:rFonts w:cs="Simplified Arabic"/>
      <w:i/>
      <w:iCs/>
      <w:color w:val="000000"/>
    </w:rPr>
  </w:style>
  <w:style w:type="character" w:customStyle="1" w:styleId="QuoteChar">
    <w:name w:val="Quote Char"/>
    <w:link w:val="Quote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Normal"/>
    <w:next w:val="BodyText3"/>
    <w:link w:val="StandardL9Char"/>
    <w:pPr>
      <w:tabs>
        <w:tab w:val="left" w:pos="2160"/>
      </w:tabs>
      <w:ind w:left="2160" w:hanging="720"/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rFonts w:cs="Simplified Arabic"/>
      <w:sz w:val="24"/>
      <w:szCs w:val="24"/>
      <w:lang w:val="en-GB" w:bidi="ar-AE"/>
    </w:rPr>
  </w:style>
  <w:style w:type="paragraph" w:customStyle="1" w:styleId="StandardL8">
    <w:name w:val="Standard L8"/>
    <w:basedOn w:val="Normal"/>
    <w:next w:val="BodyText2"/>
    <w:link w:val="StandardL8Char"/>
    <w:pPr>
      <w:tabs>
        <w:tab w:val="left" w:pos="1440"/>
      </w:tabs>
      <w:ind w:left="1440" w:hanging="720"/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rFonts w:cs="Simplified Arabic"/>
      <w:sz w:val="24"/>
      <w:szCs w:val="24"/>
      <w:lang w:val="en-GB" w:bidi="ar-AE"/>
    </w:rPr>
  </w:style>
  <w:style w:type="paragraph" w:customStyle="1" w:styleId="StandardL7">
    <w:name w:val="Standard L7"/>
    <w:basedOn w:val="Normal"/>
    <w:next w:val="BodyText6"/>
    <w:link w:val="StandardL7Char"/>
    <w:pPr>
      <w:tabs>
        <w:tab w:val="left" w:pos="4320"/>
      </w:tabs>
      <w:ind w:left="4321" w:hanging="721"/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rFonts w:cs="Simplified Arabic"/>
      <w:sz w:val="24"/>
      <w:szCs w:val="24"/>
      <w:lang w:val="en-GB" w:bidi="ar-AE"/>
    </w:rPr>
  </w:style>
  <w:style w:type="paragraph" w:customStyle="1" w:styleId="StandardL6">
    <w:name w:val="Standard L6"/>
    <w:basedOn w:val="Normal"/>
    <w:next w:val="BodyText5"/>
    <w:link w:val="StandardL6Char"/>
    <w:pPr>
      <w:tabs>
        <w:tab w:val="left" w:pos="3600"/>
      </w:tabs>
      <w:ind w:left="3600" w:hanging="720"/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rFonts w:cs="Simplified Arabic"/>
      <w:sz w:val="24"/>
      <w:szCs w:val="24"/>
      <w:lang w:val="en-GB" w:bidi="ar-AE"/>
    </w:rPr>
  </w:style>
  <w:style w:type="paragraph" w:customStyle="1" w:styleId="StandardL5">
    <w:name w:val="Standard L5"/>
    <w:basedOn w:val="Normal"/>
    <w:next w:val="BodyText4"/>
    <w:link w:val="StandardL5Char"/>
    <w:pPr>
      <w:tabs>
        <w:tab w:val="left" w:pos="2880"/>
      </w:tabs>
      <w:ind w:left="2880" w:hanging="720"/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rFonts w:cs="Simplified Arabic"/>
      <w:sz w:val="24"/>
      <w:szCs w:val="24"/>
      <w:lang w:val="en-GB" w:bidi="ar-AE"/>
    </w:rPr>
  </w:style>
  <w:style w:type="paragraph" w:customStyle="1" w:styleId="BulletL9">
    <w:name w:val="Bullet L9"/>
    <w:basedOn w:val="Normal"/>
    <w:link w:val="BulletL9Char"/>
    <w:pPr>
      <w:tabs>
        <w:tab w:val="left" w:pos="0"/>
      </w:tabs>
      <w:ind w:left="1"/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rFonts w:cs="Simplified Arabic"/>
      <w:sz w:val="24"/>
      <w:szCs w:val="24"/>
      <w:lang w:val="en-GB" w:bidi="ar-AE"/>
    </w:rPr>
  </w:style>
  <w:style w:type="paragraph" w:customStyle="1" w:styleId="BulletL8">
    <w:name w:val="Bullet L8"/>
    <w:basedOn w:val="Normal"/>
    <w:link w:val="BulletL8Char"/>
    <w:pPr>
      <w:tabs>
        <w:tab w:val="left" w:pos="0"/>
      </w:tabs>
      <w:ind w:left="1"/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rFonts w:cs="Simplified Arabic"/>
      <w:sz w:val="24"/>
      <w:szCs w:val="24"/>
      <w:lang w:val="en-GB" w:bidi="ar-AE"/>
    </w:rPr>
  </w:style>
  <w:style w:type="paragraph" w:customStyle="1" w:styleId="BulletL7">
    <w:name w:val="Bullet L7"/>
    <w:basedOn w:val="Normal"/>
    <w:link w:val="BulletL7Char"/>
    <w:pPr>
      <w:tabs>
        <w:tab w:val="left" w:pos="5040"/>
      </w:tabs>
      <w:ind w:left="5041" w:hanging="720"/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rFonts w:cs="Simplified Arabic"/>
      <w:sz w:val="24"/>
      <w:szCs w:val="24"/>
      <w:lang w:val="en-GB" w:bidi="ar-AE"/>
    </w:rPr>
  </w:style>
  <w:style w:type="paragraph" w:customStyle="1" w:styleId="BulletL6">
    <w:name w:val="Bullet L6"/>
    <w:basedOn w:val="Normal"/>
    <w:link w:val="BulletL6Char"/>
    <w:pPr>
      <w:tabs>
        <w:tab w:val="left" w:pos="4320"/>
      </w:tabs>
      <w:ind w:left="4321" w:hanging="720"/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rFonts w:cs="Simplified Arabic"/>
      <w:sz w:val="24"/>
      <w:szCs w:val="24"/>
      <w:lang w:val="en-GB" w:bidi="ar-AE"/>
    </w:rPr>
  </w:style>
  <w:style w:type="paragraph" w:customStyle="1" w:styleId="BulletL5">
    <w:name w:val="Bullet L5"/>
    <w:basedOn w:val="Normal"/>
    <w:link w:val="BulletL5Char"/>
    <w:pPr>
      <w:tabs>
        <w:tab w:val="left" w:pos="3600"/>
      </w:tabs>
      <w:ind w:left="3601" w:hanging="720"/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rFonts w:cs="Simplified Arabic"/>
      <w:sz w:val="24"/>
      <w:szCs w:val="24"/>
      <w:lang w:val="en-GB" w:bidi="ar-AE"/>
    </w:rPr>
  </w:style>
  <w:style w:type="paragraph" w:customStyle="1" w:styleId="BulletL4">
    <w:name w:val="Bullet L4"/>
    <w:basedOn w:val="Normal"/>
    <w:link w:val="BulletL4Char"/>
    <w:pPr>
      <w:tabs>
        <w:tab w:val="left" w:pos="2880"/>
      </w:tabs>
      <w:ind w:left="2881" w:hanging="720"/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rFonts w:cs="Simplified Arabic"/>
      <w:sz w:val="24"/>
      <w:szCs w:val="24"/>
      <w:lang w:val="en-GB" w:bidi="ar-AE"/>
    </w:rPr>
  </w:style>
  <w:style w:type="paragraph" w:customStyle="1" w:styleId="BulletL3">
    <w:name w:val="Bullet L3"/>
    <w:basedOn w:val="Normal"/>
    <w:link w:val="BulletL3Char"/>
    <w:pPr>
      <w:tabs>
        <w:tab w:val="left" w:pos="2160"/>
      </w:tabs>
      <w:ind w:left="2161" w:hanging="720"/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rFonts w:cs="Simplified Arabic"/>
      <w:sz w:val="24"/>
      <w:szCs w:val="24"/>
      <w:lang w:val="en-GB" w:bidi="ar-AE"/>
    </w:rPr>
  </w:style>
  <w:style w:type="paragraph" w:customStyle="1" w:styleId="BulletL2">
    <w:name w:val="Bullet L2"/>
    <w:basedOn w:val="Normal"/>
    <w:link w:val="BulletL2Char"/>
    <w:pPr>
      <w:tabs>
        <w:tab w:val="left" w:pos="1440"/>
      </w:tabs>
      <w:ind w:left="1441" w:hanging="720"/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rFonts w:cs="Simplified Arabic"/>
      <w:sz w:val="24"/>
      <w:szCs w:val="24"/>
      <w:lang w:val="en-GB" w:bidi="ar-AE"/>
    </w:rPr>
  </w:style>
  <w:style w:type="paragraph" w:customStyle="1" w:styleId="BulletL1">
    <w:name w:val="Bullet L1"/>
    <w:basedOn w:val="Normal"/>
    <w:link w:val="BulletL1Char"/>
    <w:pPr>
      <w:tabs>
        <w:tab w:val="left" w:pos="720"/>
      </w:tabs>
      <w:ind w:left="721" w:hanging="720"/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rFonts w:cs="Simplified Arabic"/>
      <w:sz w:val="24"/>
      <w:szCs w:val="24"/>
      <w:lang w:val="en-GB" w:bidi="ar-AE"/>
    </w:rPr>
  </w:style>
  <w:style w:type="paragraph" w:customStyle="1" w:styleId="StandardL4">
    <w:name w:val="Standard L4"/>
    <w:basedOn w:val="Normal"/>
    <w:next w:val="BodyText3"/>
    <w:link w:val="StandardL4Char"/>
    <w:pPr>
      <w:tabs>
        <w:tab w:val="left" w:pos="2160"/>
      </w:tabs>
      <w:ind w:left="2160" w:hanging="720"/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rFonts w:cs="Simplified Arabic"/>
      <w:sz w:val="24"/>
      <w:szCs w:val="24"/>
      <w:lang w:val="en-GB" w:bidi="ar-AE"/>
    </w:rPr>
  </w:style>
  <w:style w:type="paragraph" w:customStyle="1" w:styleId="StandardL3">
    <w:name w:val="Standard L3"/>
    <w:basedOn w:val="Normal"/>
    <w:next w:val="BodyText2"/>
    <w:link w:val="StandardL3Char"/>
    <w:pPr>
      <w:tabs>
        <w:tab w:val="left" w:pos="1440"/>
      </w:tabs>
      <w:ind w:left="1440" w:hanging="720"/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rFonts w:cs="Simplified Arabic"/>
      <w:sz w:val="24"/>
      <w:szCs w:val="24"/>
      <w:lang w:val="en-GB" w:bidi="ar-AE"/>
    </w:rPr>
  </w:style>
  <w:style w:type="paragraph" w:customStyle="1" w:styleId="StandardL2">
    <w:name w:val="Standard L2"/>
    <w:basedOn w:val="Normal"/>
    <w:next w:val="BodyText1"/>
    <w:link w:val="StandardL2Char"/>
    <w:pPr>
      <w:tabs>
        <w:tab w:val="left" w:pos="720"/>
      </w:tabs>
      <w:ind w:left="720" w:hanging="720"/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rFonts w:cs="Simplified Arabic"/>
      <w:sz w:val="24"/>
      <w:szCs w:val="24"/>
      <w:lang w:val="en-GB" w:bidi="ar-AE"/>
    </w:rPr>
  </w:style>
  <w:style w:type="paragraph" w:customStyle="1" w:styleId="StandardL1">
    <w:name w:val="Standard L1"/>
    <w:basedOn w:val="Normal"/>
    <w:next w:val="BodyText1"/>
    <w:link w:val="StandardL1Char"/>
    <w:pPr>
      <w:keepNext/>
      <w:tabs>
        <w:tab w:val="left" w:pos="720"/>
      </w:tabs>
      <w:suppressAutoHyphens/>
      <w:ind w:left="720" w:hanging="720"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rFonts w:cs="Simplified Arabic"/>
      <w:b/>
      <w:caps/>
      <w:sz w:val="24"/>
      <w:szCs w:val="24"/>
      <w:lang w:val="en-GB"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0">
    <w:name w:val="Normal + Left"/>
    <w:basedOn w:val="Bullet1"/>
    <w:pPr>
      <w:spacing w:before="0"/>
      <w:ind w:left="644" w:hanging="360"/>
    </w:pPr>
    <w:rPr>
      <w:rFonts w:eastAsia="FangSong_GB2312"/>
      <w:bCs/>
      <w:sz w:val="21"/>
      <w:szCs w:val="21"/>
    </w:rPr>
  </w:style>
  <w:style w:type="paragraph" w:styleId="Revision">
    <w:name w:val="Revision"/>
    <w:hidden/>
    <w:uiPriority w:val="99"/>
    <w:unhideWhenUsed/>
    <w:rsid w:val="00BA0F09"/>
    <w:rPr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properties xmlns="http://www.imanage.com/work/xmlschema">
  <documentid>LLE!3205352325.1</documentid>
  <senderid>QIQIN.QIAN@LINKLATERS.COM</senderid>
  <senderemail>QIQIN.QIAN@LINKLATERSZS.COM</senderemail>
  <lastmodified>2024-11-28T03:45:00.0000000+08:00</lastmodified>
  <database>LLE</database>
</properties>
</file>

<file path=customXml/itemProps1.xml><?xml version="1.0" encoding="utf-8"?>
<ds:datastoreItem xmlns:ds="http://schemas.openxmlformats.org/officeDocument/2006/customXml" ds:itemID="{5558C8FD-3FCF-4070-BA63-1D0AC39645D4}">
  <ds:schemaRefs>
    <ds:schemaRef ds:uri="http://schemas.openxmlformats.org/officeDocument/2006/bibliography"/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2024-11-28T09:14:00Z</dcterms:created>
  <dcterms:modified xsi:type="dcterms:W3CDTF">2024-11-28T09:14:00Z</dcterms:modified>
</cp:coreProperties>
</file>