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after="240"/>
        <w:jc w:val="center"/>
        <w:rPr>
          <w:rFonts w:hint="default" w:ascii="Times New Roman" w:hAnsi="Times New Roman" w:eastAsia="黑体" w:cs="Times New Roman"/>
          <w:bCs/>
          <w:kern w:val="0"/>
          <w:sz w:val="44"/>
          <w:szCs w:val="44"/>
          <w:lang w:val="en-GB" w:bidi="ar-AE"/>
        </w:rPr>
      </w:pPr>
      <w:bookmarkStart w:id="0" w:name="_GoBack"/>
      <w:bookmarkEnd w:id="0"/>
      <w:r>
        <w:rPr>
          <w:rFonts w:hint="default" w:ascii="Times New Roman" w:hAnsi="Times New Roman" w:eastAsia="方正小标宋简体" w:cs="Times New Roman"/>
          <w:bCs/>
          <w:kern w:val="0"/>
          <w:sz w:val="44"/>
          <w:szCs w:val="44"/>
          <w:lang w:val="en-GB" w:bidi="ar-AE"/>
        </w:rPr>
        <w:t>经营者集中简易案件公示表</w:t>
      </w:r>
    </w:p>
    <w:tbl>
      <w:tblPr>
        <w:tblStyle w:val="12"/>
        <w:tblW w:w="944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10"/>
        <w:gridCol w:w="1582"/>
        <w:gridCol w:w="60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1810" w:type="dxa"/>
            <w:shd w:val="clear" w:color="auto" w:fill="auto"/>
            <w:vAlign w:val="center"/>
          </w:tcPr>
          <w:p>
            <w:pPr>
              <w:pStyle w:val="7"/>
              <w:adjustRightInd w:val="0"/>
              <w:snapToGrid w:val="0"/>
              <w:spacing w:after="0"/>
              <w:jc w:val="center"/>
              <w:rPr>
                <w:b w:val="0"/>
                <w:bCs/>
                <w:color w:val="000000"/>
                <w:sz w:val="24"/>
                <w:szCs w:val="32"/>
              </w:rPr>
            </w:pPr>
            <w:r>
              <w:rPr>
                <w:b w:val="0"/>
                <w:bCs/>
                <w:color w:val="000000"/>
                <w:sz w:val="24"/>
                <w:szCs w:val="32"/>
              </w:rPr>
              <w:t>案件名称</w:t>
            </w:r>
          </w:p>
        </w:tc>
        <w:tc>
          <w:tcPr>
            <w:tcW w:w="7636" w:type="dxa"/>
            <w:gridSpan w:val="2"/>
            <w:vAlign w:val="top"/>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bCs/>
                <w:color w:val="000000"/>
                <w:sz w:val="24"/>
                <w:szCs w:val="32"/>
              </w:rPr>
            </w:pPr>
            <w:r>
              <w:rPr>
                <w:rFonts w:hint="eastAsia" w:ascii="Times New Roman" w:hAnsi="Times New Roman"/>
                <w:kern w:val="0"/>
                <w:sz w:val="24"/>
                <w:szCs w:val="24"/>
              </w:rPr>
              <w:t>茂名市茂昱科技发展有限公司与高州市华荔新能源有限公司等经营者新设合营企业案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6" w:hRule="atLeast"/>
          <w:jc w:val="center"/>
        </w:trPr>
        <w:tc>
          <w:tcPr>
            <w:tcW w:w="1810" w:type="dxa"/>
            <w:shd w:val="clear" w:color="auto" w:fill="auto"/>
            <w:vAlign w:val="center"/>
          </w:tcPr>
          <w:p>
            <w:pPr>
              <w:pStyle w:val="7"/>
              <w:adjustRightInd w:val="0"/>
              <w:snapToGrid w:val="0"/>
              <w:spacing w:after="0"/>
              <w:jc w:val="center"/>
              <w:rPr>
                <w:b w:val="0"/>
                <w:bCs/>
                <w:color w:val="000000"/>
                <w:sz w:val="24"/>
                <w:szCs w:val="32"/>
              </w:rPr>
            </w:pPr>
            <w:r>
              <w:rPr>
                <w:b w:val="0"/>
                <w:bCs/>
                <w:color w:val="000000"/>
                <w:sz w:val="24"/>
                <w:szCs w:val="32"/>
              </w:rPr>
              <w:t>交易概况</w:t>
            </w:r>
          </w:p>
          <w:p>
            <w:pPr>
              <w:pStyle w:val="7"/>
              <w:adjustRightInd w:val="0"/>
              <w:snapToGrid w:val="0"/>
              <w:spacing w:after="0"/>
              <w:jc w:val="center"/>
              <w:rPr>
                <w:b w:val="0"/>
                <w:bCs/>
                <w:color w:val="000000"/>
                <w:sz w:val="24"/>
                <w:szCs w:val="32"/>
              </w:rPr>
            </w:pPr>
            <w:r>
              <w:rPr>
                <w:b w:val="0"/>
                <w:bCs/>
                <w:color w:val="000000"/>
                <w:sz w:val="24"/>
                <w:szCs w:val="32"/>
              </w:rPr>
              <w:t>（限200字内）</w:t>
            </w:r>
          </w:p>
        </w:tc>
        <w:tc>
          <w:tcPr>
            <w:tcW w:w="7636" w:type="dxa"/>
            <w:gridSpan w:val="2"/>
            <w:vAlign w:val="top"/>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bCs/>
                <w:color w:val="000000"/>
                <w:sz w:val="24"/>
                <w:szCs w:val="32"/>
              </w:rPr>
            </w:pPr>
            <w:r>
              <w:rPr>
                <w:rFonts w:hint="eastAsia" w:ascii="Times New Roman" w:hAnsi="Times New Roman"/>
                <w:kern w:val="0"/>
                <w:sz w:val="24"/>
                <w:szCs w:val="24"/>
              </w:rPr>
              <w:t>茂名市茂昱科技发展有限公司（“茂名茂昱”）与高州市华荔新能源有限公司（“高州华荔”）、朗新投资管理无锡有限公司（“朗新无锡”）签署协议，拟在茂名市新设合营企业，</w:t>
            </w:r>
            <w:r>
              <w:rPr>
                <w:rFonts w:hint="eastAsia" w:ascii="宋体" w:hAnsi="宋体" w:eastAsia="宋体" w:cs="宋体"/>
                <w:b w:val="0"/>
                <w:bCs/>
                <w:color w:val="000000"/>
                <w:kern w:val="0"/>
                <w:sz w:val="24"/>
                <w:szCs w:val="24"/>
                <w:lang w:val="en-US" w:eastAsia="zh-CN" w:bidi="ar-AE"/>
              </w:rPr>
              <w:t>主要从事</w:t>
            </w:r>
            <w:r>
              <w:rPr>
                <w:rFonts w:hint="eastAsia" w:ascii="宋体" w:hAnsi="宋体" w:cs="宋体"/>
                <w:b w:val="0"/>
                <w:bCs/>
                <w:color w:val="000000"/>
                <w:kern w:val="0"/>
                <w:sz w:val="24"/>
                <w:szCs w:val="24"/>
                <w:lang w:val="en-US" w:eastAsia="zh-CN" w:bidi="ar-AE"/>
              </w:rPr>
              <w:t>光储充一体化、园区能源管理系统</w:t>
            </w:r>
            <w:r>
              <w:rPr>
                <w:rFonts w:hint="eastAsia" w:ascii="宋体" w:hAnsi="宋体" w:eastAsia="宋体" w:cs="宋体"/>
                <w:b w:val="0"/>
                <w:bCs/>
                <w:color w:val="000000"/>
                <w:kern w:val="0"/>
                <w:sz w:val="24"/>
                <w:szCs w:val="24"/>
                <w:lang w:val="en-US" w:eastAsia="zh-CN" w:bidi="ar-AE"/>
              </w:rPr>
              <w:t>等相关</w:t>
            </w:r>
            <w:r>
              <w:rPr>
                <w:rFonts w:hint="eastAsia" w:ascii="宋体" w:hAnsi="宋体" w:cs="宋体"/>
                <w:b w:val="0"/>
                <w:bCs/>
                <w:color w:val="000000"/>
                <w:kern w:val="0"/>
                <w:sz w:val="24"/>
                <w:szCs w:val="24"/>
                <w:lang w:val="en-US" w:eastAsia="zh-CN" w:bidi="ar-AE"/>
              </w:rPr>
              <w:t>业务</w:t>
            </w:r>
            <w:r>
              <w:rPr>
                <w:rFonts w:hint="eastAsia" w:ascii="Times New Roman" w:hAnsi="Times New Roman"/>
                <w:kern w:val="0"/>
                <w:sz w:val="24"/>
                <w:szCs w:val="24"/>
              </w:rPr>
              <w:t>。交易后，茂名茂昱、高州华荔、朗新无锡分别持股40%、30%、30%，共同控制合营企业。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0" w:hRule="atLeast"/>
          <w:jc w:val="center"/>
        </w:trPr>
        <w:tc>
          <w:tcPr>
            <w:tcW w:w="1810" w:type="dxa"/>
            <w:vMerge w:val="restart"/>
            <w:shd w:val="clear" w:color="auto" w:fill="auto"/>
            <w:vAlign w:val="center"/>
          </w:tcPr>
          <w:p>
            <w:pPr>
              <w:pStyle w:val="7"/>
              <w:adjustRightInd w:val="0"/>
              <w:snapToGrid w:val="0"/>
              <w:spacing w:after="0"/>
              <w:jc w:val="center"/>
              <w:rPr>
                <w:b w:val="0"/>
                <w:bCs/>
                <w:color w:val="000000"/>
                <w:sz w:val="24"/>
                <w:szCs w:val="32"/>
              </w:rPr>
            </w:pPr>
            <w:r>
              <w:rPr>
                <w:b w:val="0"/>
                <w:bCs/>
                <w:color w:val="000000"/>
                <w:sz w:val="24"/>
                <w:szCs w:val="32"/>
              </w:rPr>
              <w:t>参与集中的</w:t>
            </w:r>
          </w:p>
          <w:p>
            <w:pPr>
              <w:pStyle w:val="7"/>
              <w:adjustRightInd w:val="0"/>
              <w:snapToGrid w:val="0"/>
              <w:spacing w:after="0"/>
              <w:jc w:val="center"/>
              <w:rPr>
                <w:b w:val="0"/>
                <w:bCs/>
                <w:color w:val="000000"/>
                <w:sz w:val="24"/>
                <w:szCs w:val="32"/>
              </w:rPr>
            </w:pPr>
            <w:r>
              <w:rPr>
                <w:b w:val="0"/>
                <w:bCs/>
                <w:color w:val="000000"/>
                <w:sz w:val="24"/>
                <w:szCs w:val="32"/>
              </w:rPr>
              <w:t>经营者简介</w:t>
            </w:r>
          </w:p>
          <w:p>
            <w:pPr>
              <w:pStyle w:val="7"/>
              <w:adjustRightInd w:val="0"/>
              <w:snapToGrid w:val="0"/>
              <w:spacing w:after="0"/>
              <w:jc w:val="center"/>
              <w:rPr>
                <w:b w:val="0"/>
                <w:bCs/>
                <w:color w:val="000000"/>
                <w:sz w:val="24"/>
                <w:szCs w:val="32"/>
              </w:rPr>
            </w:pPr>
            <w:r>
              <w:rPr>
                <w:b w:val="0"/>
                <w:bCs/>
                <w:color w:val="000000"/>
                <w:sz w:val="24"/>
                <w:szCs w:val="32"/>
              </w:rPr>
              <w:t>（每个限100字以内）</w:t>
            </w:r>
          </w:p>
        </w:tc>
        <w:tc>
          <w:tcPr>
            <w:tcW w:w="1582" w:type="dxa"/>
            <w:vAlign w:val="center"/>
          </w:tcPr>
          <w:p>
            <w:pPr>
              <w:pStyle w:val="7"/>
              <w:keepNext w:val="0"/>
              <w:keepLines w:val="0"/>
              <w:pageBreakBefore w:val="0"/>
              <w:widowControl/>
              <w:kinsoku/>
              <w:wordWrap/>
              <w:overflowPunct/>
              <w:topLinePunct w:val="0"/>
              <w:autoSpaceDE/>
              <w:autoSpaceDN/>
              <w:bidi w:val="0"/>
              <w:adjustRightInd w:val="0"/>
              <w:snapToGrid w:val="0"/>
              <w:spacing w:after="0" w:line="400" w:lineRule="exact"/>
              <w:jc w:val="both"/>
              <w:textAlignment w:val="auto"/>
              <w:rPr>
                <w:bCs/>
                <w:color w:val="000000"/>
                <w:sz w:val="24"/>
                <w:szCs w:val="32"/>
              </w:rPr>
            </w:pPr>
            <w:r>
              <w:rPr>
                <w:rFonts w:hint="eastAsia" w:ascii="宋体" w:hAnsi="宋体" w:eastAsia="宋体" w:cs="宋体"/>
                <w:b w:val="0"/>
                <w:bCs/>
                <w:color w:val="000000"/>
                <w:kern w:val="0"/>
                <w:sz w:val="24"/>
                <w:szCs w:val="24"/>
                <w:lang w:val="en-US" w:eastAsia="zh-CN" w:bidi="ar-AE"/>
              </w:rPr>
              <w:t>1.</w:t>
            </w:r>
            <w:r>
              <w:rPr>
                <w:rFonts w:hint="eastAsia" w:ascii="宋体" w:hAnsi="宋体" w:cs="宋体"/>
                <w:b w:val="0"/>
                <w:bCs/>
                <w:color w:val="000000"/>
                <w:kern w:val="0"/>
                <w:sz w:val="24"/>
                <w:szCs w:val="24"/>
                <w:lang w:val="en-US" w:eastAsia="zh-CN" w:bidi="ar-AE"/>
              </w:rPr>
              <w:t>茂名茂昱</w:t>
            </w:r>
          </w:p>
        </w:tc>
        <w:tc>
          <w:tcPr>
            <w:tcW w:w="6054" w:type="dxa"/>
            <w:vAlign w:val="top"/>
          </w:tcPr>
          <w:p>
            <w:pPr>
              <w:keepNext w:val="0"/>
              <w:keepLines w:val="0"/>
              <w:pageBreakBefore w:val="0"/>
              <w:widowControl/>
              <w:kinsoku/>
              <w:wordWrap/>
              <w:overflowPunct/>
              <w:topLinePunct w:val="0"/>
              <w:autoSpaceDE/>
              <w:autoSpaceDN/>
              <w:bidi w:val="0"/>
              <w:adjustRightInd w:val="0"/>
              <w:snapToGrid w:val="0"/>
              <w:spacing w:line="320" w:lineRule="exact"/>
              <w:jc w:val="both"/>
              <w:textAlignment w:val="auto"/>
              <w:rPr>
                <w:rFonts w:hint="eastAsia" w:ascii="Times New Roman" w:hAnsi="Times New Roman" w:cs="Times New Roman"/>
                <w:bCs/>
                <w:color w:val="000000"/>
                <w:kern w:val="0"/>
                <w:sz w:val="24"/>
                <w:szCs w:val="24"/>
                <w:lang w:bidi="ar-AE"/>
              </w:rPr>
            </w:pPr>
            <w:r>
              <w:rPr>
                <w:rFonts w:hint="eastAsia" w:ascii="Times New Roman" w:hAnsi="Times New Roman" w:cs="Times New Roman"/>
                <w:bCs/>
                <w:color w:val="000000"/>
                <w:kern w:val="0"/>
                <w:sz w:val="24"/>
                <w:szCs w:val="24"/>
                <w:lang w:bidi="ar-AE"/>
              </w:rPr>
              <w:t>茂名茂昱于2024年12月9日成立于广东茂名，主要业务为软件和信息技术服务等。</w:t>
            </w:r>
          </w:p>
          <w:p>
            <w:pPr>
              <w:keepNext w:val="0"/>
              <w:keepLines w:val="0"/>
              <w:pageBreakBefore w:val="0"/>
              <w:widowControl/>
              <w:kinsoku/>
              <w:wordWrap/>
              <w:overflowPunct/>
              <w:topLinePunct w:val="0"/>
              <w:autoSpaceDE/>
              <w:autoSpaceDN/>
              <w:bidi w:val="0"/>
              <w:adjustRightInd w:val="0"/>
              <w:snapToGrid w:val="0"/>
              <w:spacing w:line="320" w:lineRule="exact"/>
              <w:jc w:val="both"/>
              <w:textAlignment w:val="auto"/>
              <w:rPr>
                <w:bCs/>
                <w:color w:val="000000"/>
                <w:sz w:val="24"/>
                <w:szCs w:val="32"/>
              </w:rPr>
            </w:pPr>
            <w:r>
              <w:rPr>
                <w:rFonts w:hint="eastAsia" w:ascii="Times New Roman" w:hAnsi="Times New Roman" w:cs="Times New Roman"/>
                <w:bCs/>
                <w:color w:val="000000"/>
                <w:kern w:val="0"/>
                <w:sz w:val="24"/>
                <w:szCs w:val="24"/>
                <w:lang w:bidi="ar-AE"/>
              </w:rPr>
              <w:t>茂名茂昱的最终控制人为茂名市发展集团有限公司，主要业务为房地产开发、市政设施管理等。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7" w:hRule="atLeast"/>
          <w:jc w:val="center"/>
        </w:trPr>
        <w:tc>
          <w:tcPr>
            <w:tcW w:w="1810" w:type="dxa"/>
            <w:vMerge w:val="continue"/>
            <w:shd w:val="clear" w:color="auto" w:fill="auto"/>
            <w:vAlign w:val="center"/>
          </w:tcPr>
          <w:p>
            <w:pPr>
              <w:pStyle w:val="7"/>
              <w:adjustRightInd w:val="0"/>
              <w:snapToGrid w:val="0"/>
              <w:spacing w:after="0"/>
              <w:jc w:val="center"/>
              <w:rPr>
                <w:b w:val="0"/>
                <w:bCs/>
                <w:color w:val="000000"/>
                <w:sz w:val="24"/>
                <w:szCs w:val="32"/>
              </w:rPr>
            </w:pPr>
          </w:p>
        </w:tc>
        <w:tc>
          <w:tcPr>
            <w:tcW w:w="1582" w:type="dxa"/>
            <w:vAlign w:val="center"/>
          </w:tcPr>
          <w:p>
            <w:pPr>
              <w:pStyle w:val="7"/>
              <w:keepNext w:val="0"/>
              <w:keepLines w:val="0"/>
              <w:pageBreakBefore w:val="0"/>
              <w:widowControl/>
              <w:kinsoku/>
              <w:wordWrap/>
              <w:overflowPunct/>
              <w:topLinePunct w:val="0"/>
              <w:autoSpaceDE/>
              <w:autoSpaceDN/>
              <w:bidi w:val="0"/>
              <w:adjustRightInd w:val="0"/>
              <w:snapToGrid w:val="0"/>
              <w:spacing w:after="0" w:line="400" w:lineRule="exact"/>
              <w:jc w:val="both"/>
              <w:textAlignment w:val="auto"/>
              <w:rPr>
                <w:bCs/>
                <w:color w:val="000000"/>
                <w:sz w:val="24"/>
                <w:szCs w:val="32"/>
              </w:rPr>
            </w:pPr>
            <w:r>
              <w:rPr>
                <w:rFonts w:hint="eastAsia" w:ascii="宋体" w:hAnsi="宋体" w:eastAsia="宋体" w:cs="宋体"/>
                <w:b w:val="0"/>
                <w:bCs/>
                <w:color w:val="000000"/>
                <w:kern w:val="0"/>
                <w:sz w:val="24"/>
                <w:szCs w:val="24"/>
                <w:lang w:val="en-US" w:eastAsia="zh-CN" w:bidi="ar-AE"/>
              </w:rPr>
              <w:t>2.</w:t>
            </w:r>
            <w:r>
              <w:rPr>
                <w:rFonts w:hint="eastAsia" w:ascii="宋体" w:hAnsi="宋体" w:cs="宋体"/>
                <w:b w:val="0"/>
                <w:bCs/>
                <w:color w:val="000000"/>
                <w:kern w:val="0"/>
                <w:sz w:val="24"/>
                <w:szCs w:val="24"/>
                <w:lang w:val="en-US" w:eastAsia="zh-CN" w:bidi="ar-AE"/>
              </w:rPr>
              <w:t>高州华荔</w:t>
            </w:r>
          </w:p>
        </w:tc>
        <w:tc>
          <w:tcPr>
            <w:tcW w:w="6054" w:type="dxa"/>
            <w:vAlign w:val="top"/>
          </w:tcPr>
          <w:p>
            <w:pPr>
              <w:keepNext w:val="0"/>
              <w:keepLines w:val="0"/>
              <w:pageBreakBefore w:val="0"/>
              <w:widowControl/>
              <w:kinsoku/>
              <w:wordWrap/>
              <w:overflowPunct/>
              <w:topLinePunct w:val="0"/>
              <w:autoSpaceDE/>
              <w:autoSpaceDN/>
              <w:bidi w:val="0"/>
              <w:adjustRightInd w:val="0"/>
              <w:snapToGrid w:val="0"/>
              <w:spacing w:line="320" w:lineRule="exact"/>
              <w:jc w:val="both"/>
              <w:textAlignment w:val="auto"/>
              <w:rPr>
                <w:rFonts w:hint="eastAsia" w:ascii="Times New Roman" w:hAnsi="Times New Roman" w:cs="Times New Roman"/>
                <w:bCs/>
                <w:color w:val="000000"/>
                <w:kern w:val="0"/>
                <w:sz w:val="24"/>
                <w:szCs w:val="24"/>
                <w:lang w:bidi="ar-AE"/>
              </w:rPr>
            </w:pPr>
            <w:r>
              <w:rPr>
                <w:rFonts w:hint="eastAsia" w:ascii="Times New Roman" w:hAnsi="Times New Roman" w:cs="Times New Roman"/>
                <w:bCs/>
                <w:color w:val="000000"/>
                <w:kern w:val="0"/>
                <w:sz w:val="24"/>
                <w:szCs w:val="24"/>
                <w:lang w:bidi="ar-AE"/>
              </w:rPr>
              <w:t>高州华荔于2014年8月4日成立于广东茂名，主要业务为发电、输电、供（配）电业务等。</w:t>
            </w:r>
          </w:p>
          <w:p>
            <w:pPr>
              <w:keepNext w:val="0"/>
              <w:keepLines w:val="0"/>
              <w:pageBreakBefore w:val="0"/>
              <w:widowControl/>
              <w:kinsoku/>
              <w:wordWrap/>
              <w:overflowPunct/>
              <w:topLinePunct w:val="0"/>
              <w:autoSpaceDE/>
              <w:autoSpaceDN/>
              <w:bidi w:val="0"/>
              <w:adjustRightInd w:val="0"/>
              <w:snapToGrid w:val="0"/>
              <w:spacing w:line="320" w:lineRule="exact"/>
              <w:jc w:val="both"/>
              <w:textAlignment w:val="auto"/>
              <w:rPr>
                <w:bCs/>
                <w:color w:val="000000"/>
                <w:sz w:val="24"/>
                <w:szCs w:val="32"/>
              </w:rPr>
            </w:pPr>
            <w:r>
              <w:rPr>
                <w:rFonts w:hint="eastAsia" w:ascii="Times New Roman" w:hAnsi="Times New Roman" w:cs="Times New Roman"/>
                <w:bCs/>
                <w:color w:val="000000"/>
                <w:kern w:val="0"/>
                <w:sz w:val="24"/>
                <w:szCs w:val="24"/>
                <w:lang w:bidi="ar-AE"/>
              </w:rPr>
              <w:t>高州华荔的最终控制人为高州市安健国有资产经营有限公司，主要业务为对企业国有资产的管理、处置等。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7" w:hRule="atLeast"/>
          <w:jc w:val="center"/>
        </w:trPr>
        <w:tc>
          <w:tcPr>
            <w:tcW w:w="1810" w:type="dxa"/>
            <w:vMerge w:val="continue"/>
            <w:shd w:val="clear" w:color="auto" w:fill="auto"/>
            <w:vAlign w:val="center"/>
          </w:tcPr>
          <w:p>
            <w:pPr>
              <w:pStyle w:val="7"/>
              <w:adjustRightInd w:val="0"/>
              <w:snapToGrid w:val="0"/>
              <w:spacing w:after="0"/>
              <w:jc w:val="center"/>
              <w:rPr>
                <w:b w:val="0"/>
                <w:bCs/>
                <w:color w:val="000000"/>
                <w:sz w:val="24"/>
                <w:szCs w:val="32"/>
              </w:rPr>
            </w:pPr>
          </w:p>
        </w:tc>
        <w:tc>
          <w:tcPr>
            <w:tcW w:w="1582" w:type="dxa"/>
            <w:vAlign w:val="center"/>
          </w:tcPr>
          <w:p>
            <w:pPr>
              <w:pStyle w:val="7"/>
              <w:keepNext w:val="0"/>
              <w:keepLines w:val="0"/>
              <w:pageBreakBefore w:val="0"/>
              <w:widowControl/>
              <w:kinsoku/>
              <w:wordWrap/>
              <w:overflowPunct/>
              <w:topLinePunct w:val="0"/>
              <w:autoSpaceDE/>
              <w:autoSpaceDN/>
              <w:bidi w:val="0"/>
              <w:adjustRightInd w:val="0"/>
              <w:snapToGrid w:val="0"/>
              <w:spacing w:after="0" w:line="400" w:lineRule="exact"/>
              <w:jc w:val="both"/>
              <w:textAlignment w:val="auto"/>
              <w:rPr>
                <w:bCs/>
                <w:color w:val="000000"/>
                <w:sz w:val="24"/>
              </w:rPr>
            </w:pPr>
            <w:r>
              <w:rPr>
                <w:rFonts w:hint="eastAsia" w:ascii="宋体" w:hAnsi="宋体" w:cs="宋体"/>
                <w:b w:val="0"/>
                <w:bCs/>
                <w:color w:val="000000"/>
                <w:kern w:val="0"/>
                <w:sz w:val="24"/>
                <w:szCs w:val="24"/>
                <w:lang w:val="en-US" w:eastAsia="zh-CN" w:bidi="ar-AE"/>
              </w:rPr>
              <w:t>3.朗新无锡</w:t>
            </w:r>
          </w:p>
        </w:tc>
        <w:tc>
          <w:tcPr>
            <w:tcW w:w="6054" w:type="dxa"/>
            <w:vAlign w:val="top"/>
          </w:tcPr>
          <w:p>
            <w:pPr>
              <w:keepNext w:val="0"/>
              <w:keepLines w:val="0"/>
              <w:pageBreakBefore w:val="0"/>
              <w:widowControl/>
              <w:kinsoku/>
              <w:wordWrap/>
              <w:overflowPunct/>
              <w:topLinePunct w:val="0"/>
              <w:autoSpaceDE/>
              <w:autoSpaceDN/>
              <w:bidi w:val="0"/>
              <w:adjustRightInd w:val="0"/>
              <w:snapToGrid w:val="0"/>
              <w:spacing w:line="320" w:lineRule="exact"/>
              <w:jc w:val="both"/>
              <w:textAlignment w:val="auto"/>
              <w:rPr>
                <w:rFonts w:hint="eastAsia" w:ascii="Times New Roman" w:hAnsi="Times New Roman" w:cs="Times New Roman"/>
                <w:bCs/>
                <w:color w:val="000000"/>
                <w:kern w:val="0"/>
                <w:sz w:val="24"/>
                <w:szCs w:val="24"/>
                <w:lang w:bidi="ar-AE"/>
              </w:rPr>
            </w:pPr>
            <w:r>
              <w:rPr>
                <w:rFonts w:hint="eastAsia" w:ascii="Times New Roman" w:hAnsi="Times New Roman" w:cs="Times New Roman"/>
                <w:bCs/>
                <w:color w:val="000000"/>
                <w:kern w:val="0"/>
                <w:sz w:val="24"/>
                <w:szCs w:val="24"/>
                <w:lang w:bidi="ar-AE"/>
              </w:rPr>
              <w:t>朗新无锡于2017年8月8日成立于江苏无锡，主要业务为投资管理、投资咨询等。</w:t>
            </w:r>
          </w:p>
          <w:p>
            <w:pPr>
              <w:keepNext w:val="0"/>
              <w:keepLines w:val="0"/>
              <w:pageBreakBefore w:val="0"/>
              <w:widowControl/>
              <w:kinsoku/>
              <w:wordWrap/>
              <w:overflowPunct/>
              <w:topLinePunct w:val="0"/>
              <w:autoSpaceDE/>
              <w:autoSpaceDN/>
              <w:bidi w:val="0"/>
              <w:adjustRightInd w:val="0"/>
              <w:snapToGrid w:val="0"/>
              <w:spacing w:line="320" w:lineRule="exact"/>
              <w:jc w:val="both"/>
              <w:textAlignment w:val="auto"/>
              <w:rPr>
                <w:rFonts w:hint="eastAsia" w:ascii="Times New Roman" w:hAnsi="Times New Roman" w:cs="Times New Roman"/>
                <w:bCs/>
                <w:color w:val="000000"/>
                <w:kern w:val="0"/>
                <w:sz w:val="24"/>
                <w:szCs w:val="24"/>
                <w:lang w:bidi="ar-AE"/>
              </w:rPr>
            </w:pPr>
            <w:r>
              <w:rPr>
                <w:rFonts w:hint="eastAsia" w:ascii="Times New Roman" w:hAnsi="Times New Roman" w:cs="Times New Roman"/>
                <w:bCs/>
                <w:color w:val="000000"/>
                <w:kern w:val="0"/>
                <w:sz w:val="24"/>
                <w:szCs w:val="24"/>
                <w:lang w:bidi="ar-AE"/>
              </w:rPr>
              <w:t>朗新无锡的最终控制人为朗新科技集团股份有限公司，主要业务为能源数字化、能源互联网等。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9" w:hRule="atLeast"/>
          <w:jc w:val="center"/>
        </w:trPr>
        <w:tc>
          <w:tcPr>
            <w:tcW w:w="1810" w:type="dxa"/>
            <w:vMerge w:val="restart"/>
            <w:shd w:val="clear" w:color="auto" w:fill="auto"/>
            <w:vAlign w:val="center"/>
          </w:tcPr>
          <w:p>
            <w:pPr>
              <w:pStyle w:val="7"/>
              <w:adjustRightInd w:val="0"/>
              <w:snapToGrid w:val="0"/>
              <w:spacing w:after="0"/>
              <w:jc w:val="center"/>
              <w:rPr>
                <w:b w:val="0"/>
                <w:bCs/>
                <w:color w:val="000000"/>
                <w:sz w:val="24"/>
                <w:szCs w:val="32"/>
              </w:rPr>
            </w:pPr>
            <w:r>
              <w:rPr>
                <w:b w:val="0"/>
                <w:bCs/>
                <w:color w:val="000000"/>
                <w:sz w:val="24"/>
                <w:szCs w:val="32"/>
              </w:rPr>
              <w:t>简易案件理由（可以单选，</w:t>
            </w:r>
          </w:p>
          <w:p>
            <w:pPr>
              <w:pStyle w:val="7"/>
              <w:adjustRightInd w:val="0"/>
              <w:snapToGrid w:val="0"/>
              <w:spacing w:after="0"/>
              <w:jc w:val="center"/>
              <w:rPr>
                <w:b w:val="0"/>
                <w:bCs/>
                <w:color w:val="000000"/>
                <w:sz w:val="24"/>
                <w:szCs w:val="32"/>
              </w:rPr>
            </w:pPr>
            <w:r>
              <w:rPr>
                <w:b w:val="0"/>
                <w:bCs/>
                <w:color w:val="000000"/>
                <w:sz w:val="24"/>
                <w:szCs w:val="32"/>
              </w:rPr>
              <w:t>也可以多选）</w:t>
            </w:r>
          </w:p>
        </w:tc>
        <w:tc>
          <w:tcPr>
            <w:tcW w:w="7636" w:type="dxa"/>
            <w:gridSpan w:val="2"/>
            <w:vAlign w:val="center"/>
          </w:tcPr>
          <w:p>
            <w:pPr>
              <w:pStyle w:val="7"/>
              <w:adjustRightInd w:val="0"/>
              <w:snapToGrid w:val="0"/>
              <w:spacing w:after="0"/>
              <w:jc w:val="both"/>
              <w:rPr>
                <w:bCs/>
                <w:color w:val="000000"/>
                <w:sz w:val="24"/>
                <w:szCs w:val="32"/>
              </w:rPr>
            </w:pPr>
            <w:r>
              <w:rPr>
                <w:bCs/>
                <w:color w:val="000000"/>
                <w:sz w:val="24"/>
                <w:szCs w:val="32"/>
              </w:rPr>
              <w:sym w:font="Wingdings" w:char="00FE"/>
            </w:r>
            <w:r>
              <w:rPr>
                <w:bCs/>
                <w:color w:val="000000"/>
                <w:sz w:val="24"/>
                <w:szCs w:val="32"/>
              </w:rPr>
              <w:t xml:space="preserve"> 1、在同一相关市场，所有参与集中的经营者所占市场份额之和小于15%。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9" w:hRule="atLeast"/>
          <w:jc w:val="center"/>
        </w:trPr>
        <w:tc>
          <w:tcPr>
            <w:tcW w:w="1810" w:type="dxa"/>
            <w:vMerge w:val="continue"/>
            <w:shd w:val="clear" w:color="auto" w:fill="auto"/>
            <w:vAlign w:val="center"/>
          </w:tcPr>
          <w:p>
            <w:pPr>
              <w:pStyle w:val="7"/>
              <w:adjustRightInd w:val="0"/>
              <w:snapToGrid w:val="0"/>
              <w:spacing w:after="0"/>
              <w:jc w:val="center"/>
              <w:rPr>
                <w:b w:val="0"/>
                <w:bCs/>
                <w:color w:val="000000"/>
                <w:sz w:val="24"/>
                <w:szCs w:val="32"/>
              </w:rPr>
            </w:pPr>
          </w:p>
        </w:tc>
        <w:tc>
          <w:tcPr>
            <w:tcW w:w="7636" w:type="dxa"/>
            <w:gridSpan w:val="2"/>
            <w:vAlign w:val="center"/>
          </w:tcPr>
          <w:p>
            <w:pPr>
              <w:pStyle w:val="7"/>
              <w:adjustRightInd w:val="0"/>
              <w:snapToGrid w:val="0"/>
              <w:spacing w:after="0"/>
              <w:jc w:val="both"/>
              <w:rPr>
                <w:bCs/>
                <w:color w:val="000000"/>
                <w:sz w:val="24"/>
                <w:szCs w:val="32"/>
              </w:rPr>
            </w:pPr>
            <w:r>
              <w:rPr>
                <w:bCs/>
                <w:color w:val="000000"/>
                <w:sz w:val="24"/>
                <w:szCs w:val="32"/>
              </w:rPr>
              <w:sym w:font="Wingdings" w:char="00FE"/>
            </w:r>
            <w:r>
              <w:rPr>
                <w:bCs/>
                <w:color w:val="000000"/>
                <w:sz w:val="24"/>
                <w:szCs w:val="32"/>
              </w:rPr>
              <w:t xml:space="preserve"> 2、存在上下游关系的参与集中的经营者，在上下游市场所占的市场份额均小于25%。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9" w:hRule="atLeast"/>
          <w:jc w:val="center"/>
        </w:trPr>
        <w:tc>
          <w:tcPr>
            <w:tcW w:w="1810" w:type="dxa"/>
            <w:vMerge w:val="continue"/>
            <w:shd w:val="clear" w:color="auto" w:fill="auto"/>
            <w:vAlign w:val="center"/>
          </w:tcPr>
          <w:p>
            <w:pPr>
              <w:pStyle w:val="7"/>
              <w:adjustRightInd w:val="0"/>
              <w:snapToGrid w:val="0"/>
              <w:spacing w:after="0"/>
              <w:jc w:val="center"/>
              <w:rPr>
                <w:b w:val="0"/>
                <w:bCs/>
                <w:color w:val="000000"/>
                <w:sz w:val="24"/>
                <w:szCs w:val="32"/>
              </w:rPr>
            </w:pPr>
          </w:p>
        </w:tc>
        <w:tc>
          <w:tcPr>
            <w:tcW w:w="7636" w:type="dxa"/>
            <w:gridSpan w:val="2"/>
            <w:vAlign w:val="center"/>
          </w:tcPr>
          <w:p>
            <w:pPr>
              <w:pStyle w:val="7"/>
              <w:adjustRightInd w:val="0"/>
              <w:snapToGrid w:val="0"/>
              <w:spacing w:after="0"/>
              <w:jc w:val="both"/>
              <w:rPr>
                <w:bCs/>
                <w:color w:val="000000"/>
                <w:sz w:val="24"/>
                <w:szCs w:val="32"/>
              </w:rPr>
            </w:pPr>
            <w:r>
              <w:rPr>
                <w:bCs/>
                <w:color w:val="000000"/>
                <w:sz w:val="24"/>
                <w:szCs w:val="32"/>
              </w:rPr>
              <w:sym w:font="Wingdings" w:char="00A8"/>
            </w:r>
            <w:r>
              <w:rPr>
                <w:bCs/>
                <w:color w:val="000000"/>
                <w:sz w:val="24"/>
                <w:szCs w:val="32"/>
              </w:rPr>
              <w:t xml:space="preserve"> 3、不在同一相关市场、也不存在上下游关系的参与集中的经营者，在与交易有关的每个市场所占的份额均小于25%。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9" w:hRule="atLeast"/>
          <w:jc w:val="center"/>
        </w:trPr>
        <w:tc>
          <w:tcPr>
            <w:tcW w:w="1810" w:type="dxa"/>
            <w:vMerge w:val="continue"/>
            <w:shd w:val="clear" w:color="auto" w:fill="auto"/>
            <w:vAlign w:val="center"/>
          </w:tcPr>
          <w:p>
            <w:pPr>
              <w:pStyle w:val="7"/>
              <w:adjustRightInd w:val="0"/>
              <w:snapToGrid w:val="0"/>
              <w:spacing w:after="0"/>
              <w:jc w:val="center"/>
              <w:rPr>
                <w:b w:val="0"/>
                <w:bCs/>
                <w:color w:val="000000"/>
                <w:sz w:val="24"/>
                <w:szCs w:val="32"/>
              </w:rPr>
            </w:pPr>
          </w:p>
        </w:tc>
        <w:tc>
          <w:tcPr>
            <w:tcW w:w="7636" w:type="dxa"/>
            <w:gridSpan w:val="2"/>
            <w:vAlign w:val="center"/>
          </w:tcPr>
          <w:p>
            <w:pPr>
              <w:pStyle w:val="7"/>
              <w:adjustRightInd w:val="0"/>
              <w:snapToGrid w:val="0"/>
              <w:spacing w:after="0"/>
              <w:jc w:val="both"/>
              <w:rPr>
                <w:bCs/>
                <w:color w:val="000000"/>
                <w:sz w:val="24"/>
                <w:szCs w:val="32"/>
              </w:rPr>
            </w:pPr>
            <w:r>
              <w:rPr>
                <w:bCs/>
                <w:color w:val="000000"/>
                <w:sz w:val="24"/>
                <w:szCs w:val="32"/>
              </w:rPr>
              <w:sym w:font="Wingdings" w:char="00A8"/>
            </w:r>
            <w:r>
              <w:rPr>
                <w:bCs/>
                <w:color w:val="000000"/>
                <w:sz w:val="24"/>
                <w:szCs w:val="32"/>
              </w:rPr>
              <w:t xml:space="preserve"> 4、参与集中的经营者在中国境外设立合营企业，合营企业不在中国境内从事经济活动。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9" w:hRule="atLeast"/>
          <w:jc w:val="center"/>
        </w:trPr>
        <w:tc>
          <w:tcPr>
            <w:tcW w:w="1810" w:type="dxa"/>
            <w:vMerge w:val="continue"/>
            <w:shd w:val="clear" w:color="auto" w:fill="auto"/>
            <w:vAlign w:val="center"/>
          </w:tcPr>
          <w:p>
            <w:pPr>
              <w:pStyle w:val="7"/>
              <w:adjustRightInd w:val="0"/>
              <w:snapToGrid w:val="0"/>
              <w:spacing w:after="0"/>
              <w:jc w:val="center"/>
              <w:rPr>
                <w:b w:val="0"/>
                <w:bCs/>
                <w:color w:val="000000"/>
                <w:sz w:val="24"/>
                <w:szCs w:val="32"/>
              </w:rPr>
            </w:pPr>
          </w:p>
        </w:tc>
        <w:tc>
          <w:tcPr>
            <w:tcW w:w="7636" w:type="dxa"/>
            <w:gridSpan w:val="2"/>
            <w:vAlign w:val="center"/>
          </w:tcPr>
          <w:p>
            <w:pPr>
              <w:pStyle w:val="7"/>
              <w:adjustRightInd w:val="0"/>
              <w:snapToGrid w:val="0"/>
              <w:spacing w:after="0"/>
              <w:jc w:val="both"/>
              <w:rPr>
                <w:bCs/>
                <w:color w:val="000000"/>
                <w:sz w:val="24"/>
                <w:szCs w:val="32"/>
              </w:rPr>
            </w:pPr>
            <w:r>
              <w:rPr>
                <w:bCs/>
                <w:color w:val="000000"/>
                <w:sz w:val="24"/>
                <w:szCs w:val="32"/>
              </w:rPr>
              <w:sym w:font="Wingdings" w:char="00A8"/>
            </w:r>
            <w:r>
              <w:rPr>
                <w:bCs/>
                <w:color w:val="000000"/>
                <w:sz w:val="24"/>
                <w:szCs w:val="32"/>
              </w:rPr>
              <w:t xml:space="preserve"> 5、参与集中的经营者收购境外企业股权或资产的，该境外企业不在中国境内从事经济活动。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9" w:hRule="atLeast"/>
          <w:jc w:val="center"/>
        </w:trPr>
        <w:tc>
          <w:tcPr>
            <w:tcW w:w="1810" w:type="dxa"/>
            <w:vMerge w:val="continue"/>
            <w:shd w:val="clear" w:color="auto" w:fill="auto"/>
            <w:vAlign w:val="center"/>
          </w:tcPr>
          <w:p>
            <w:pPr>
              <w:pStyle w:val="7"/>
              <w:adjustRightInd w:val="0"/>
              <w:snapToGrid w:val="0"/>
              <w:spacing w:after="0"/>
              <w:jc w:val="center"/>
              <w:rPr>
                <w:b w:val="0"/>
                <w:bCs/>
                <w:color w:val="000000"/>
                <w:sz w:val="24"/>
                <w:szCs w:val="32"/>
              </w:rPr>
            </w:pPr>
          </w:p>
        </w:tc>
        <w:tc>
          <w:tcPr>
            <w:tcW w:w="7636" w:type="dxa"/>
            <w:gridSpan w:val="2"/>
            <w:vAlign w:val="center"/>
          </w:tcPr>
          <w:p>
            <w:pPr>
              <w:pStyle w:val="7"/>
              <w:adjustRightInd w:val="0"/>
              <w:snapToGrid w:val="0"/>
              <w:spacing w:after="0"/>
              <w:jc w:val="both"/>
              <w:rPr>
                <w:bCs/>
                <w:color w:val="000000"/>
                <w:sz w:val="24"/>
                <w:szCs w:val="32"/>
              </w:rPr>
            </w:pPr>
            <w:r>
              <w:rPr>
                <w:bCs/>
                <w:color w:val="000000"/>
                <w:sz w:val="24"/>
                <w:szCs w:val="32"/>
              </w:rPr>
              <w:sym w:font="Wingdings" w:char="00A8"/>
            </w:r>
            <w:r>
              <w:rPr>
                <w:bCs/>
                <w:color w:val="000000"/>
                <w:sz w:val="24"/>
                <w:szCs w:val="32"/>
              </w:rPr>
              <w:t xml:space="preserve"> 6、由两个以上的经营者共同控制的合营企业，通过集中被其中一个或一个以上经营者控制。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32" w:hRule="atLeast"/>
          <w:jc w:val="center"/>
        </w:trPr>
        <w:tc>
          <w:tcPr>
            <w:tcW w:w="1810" w:type="dxa"/>
            <w:shd w:val="clear" w:color="auto" w:fill="auto"/>
            <w:vAlign w:val="center"/>
          </w:tcPr>
          <w:p>
            <w:pPr>
              <w:pStyle w:val="7"/>
              <w:adjustRightInd w:val="0"/>
              <w:snapToGrid w:val="0"/>
              <w:spacing w:after="0"/>
              <w:jc w:val="center"/>
              <w:rPr>
                <w:b w:val="0"/>
                <w:bCs/>
                <w:color w:val="000000"/>
                <w:sz w:val="24"/>
                <w:szCs w:val="32"/>
              </w:rPr>
            </w:pPr>
            <w:r>
              <w:rPr>
                <w:b w:val="0"/>
                <w:bCs/>
                <w:color w:val="000000"/>
                <w:sz w:val="24"/>
                <w:szCs w:val="32"/>
              </w:rPr>
              <w:t>备注</w:t>
            </w:r>
          </w:p>
        </w:tc>
        <w:tc>
          <w:tcPr>
            <w:tcW w:w="7636" w:type="dxa"/>
            <w:gridSpan w:val="2"/>
            <w:vAlign w:val="center"/>
          </w:tcPr>
          <w:p>
            <w:pPr>
              <w:pStyle w:val="7"/>
              <w:keepNext w:val="0"/>
              <w:keepLines w:val="0"/>
              <w:pageBreakBefore w:val="0"/>
              <w:widowControl/>
              <w:kinsoku/>
              <w:wordWrap/>
              <w:overflowPunct/>
              <w:topLinePunct w:val="0"/>
              <w:autoSpaceDE/>
              <w:autoSpaceDN/>
              <w:bidi w:val="0"/>
              <w:adjustRightInd w:val="0"/>
              <w:snapToGrid w:val="0"/>
              <w:spacing w:after="0" w:line="240" w:lineRule="auto"/>
              <w:jc w:val="both"/>
              <w:textAlignment w:val="auto"/>
              <w:rPr>
                <w:rFonts w:hint="default" w:ascii="Times New Roman" w:hAnsi="Times New Roman" w:eastAsia="宋体" w:cs="Times New Roman"/>
                <w:b/>
                <w:bCs w:val="0"/>
                <w:color w:val="000000"/>
                <w:kern w:val="0"/>
                <w:sz w:val="24"/>
                <w:szCs w:val="24"/>
                <w:lang w:val="en-GB" w:eastAsia="zh-CN" w:bidi="ar-AE"/>
              </w:rPr>
            </w:pPr>
            <w:r>
              <w:rPr>
                <w:rFonts w:hint="eastAsia" w:cs="Times New Roman"/>
                <w:b/>
                <w:bCs w:val="0"/>
                <w:color w:val="000000"/>
                <w:kern w:val="0"/>
                <w:sz w:val="24"/>
                <w:szCs w:val="24"/>
                <w:lang w:val="en-US" w:eastAsia="zh-CN" w:bidi="ar-AE"/>
              </w:rPr>
              <w:t>横向重叠</w:t>
            </w:r>
            <w:r>
              <w:rPr>
                <w:rFonts w:hint="default" w:ascii="Times New Roman" w:hAnsi="Times New Roman" w:eastAsia="宋体" w:cs="Times New Roman"/>
                <w:b/>
                <w:bCs w:val="0"/>
                <w:color w:val="000000"/>
                <w:kern w:val="0"/>
                <w:sz w:val="24"/>
                <w:szCs w:val="24"/>
                <w:lang w:val="en-GB" w:eastAsia="zh-CN" w:bidi="ar-AE"/>
              </w:rPr>
              <w:t>：</w:t>
            </w:r>
          </w:p>
          <w:tbl>
            <w:tblPr>
              <w:tblStyle w:val="12"/>
              <w:tblW w:w="7457"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 w:type="dxa"/>
                <w:bottom w:w="0" w:type="dxa"/>
                <w:right w:w="10" w:type="dxa"/>
              </w:tblCellMar>
            </w:tblPr>
            <w:tblGrid>
              <w:gridCol w:w="2487"/>
              <w:gridCol w:w="1985"/>
              <w:gridCol w:w="298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 w:type="dxa"/>
                  <w:bottom w:w="0" w:type="dxa"/>
                  <w:right w:w="10" w:type="dxa"/>
                </w:tblCellMar>
              </w:tblPrEx>
              <w:trPr>
                <w:jc w:val="center"/>
              </w:trPr>
              <w:tc>
                <w:tcPr>
                  <w:tcW w:w="2487" w:type="dxa"/>
                  <w:tcBorders>
                    <w:top w:val="single" w:color="000000" w:sz="4" w:space="0"/>
                    <w:left w:val="single" w:color="000000" w:sz="4" w:space="0"/>
                    <w:bottom w:val="single" w:color="000000" w:sz="4" w:space="0"/>
                    <w:right w:val="single" w:color="000000" w:sz="4" w:space="0"/>
                    <w:tl2br w:val="nil"/>
                    <w:tr2bl w:val="nil"/>
                  </w:tcBorders>
                  <w:noWrap w:val="0"/>
                  <w:tcMar>
                    <w:top w:w="0" w:type="dxa"/>
                    <w:left w:w="108" w:type="dxa"/>
                    <w:bottom w:w="0" w:type="dxa"/>
                    <w:right w:w="108" w:type="dxa"/>
                  </w:tcMar>
                  <w:vAlign w:val="top"/>
                </w:tcPr>
                <w:p>
                  <w:pPr>
                    <w:pStyle w:val="7"/>
                    <w:keepNext w:val="0"/>
                    <w:keepLines w:val="0"/>
                    <w:pageBreakBefore w:val="0"/>
                    <w:kinsoku/>
                    <w:wordWrap/>
                    <w:overflowPunct/>
                    <w:topLinePunct w:val="0"/>
                    <w:autoSpaceDE/>
                    <w:autoSpaceDN/>
                    <w:bidi w:val="0"/>
                    <w:adjustRightInd w:val="0"/>
                    <w:snapToGrid w:val="0"/>
                    <w:spacing w:beforeLines="0" w:after="0" w:afterLines="0" w:line="320" w:lineRule="exact"/>
                    <w:jc w:val="left"/>
                    <w:textAlignment w:val="auto"/>
                    <w:rPr>
                      <w:rFonts w:hint="default"/>
                      <w:sz w:val="24"/>
                      <w:szCs w:val="24"/>
                      <w:lang w:bidi="ar"/>
                    </w:rPr>
                  </w:pPr>
                  <w:r>
                    <w:rPr>
                      <w:rFonts w:hint="default" w:ascii="宋体"/>
                      <w:sz w:val="24"/>
                      <w:szCs w:val="24"/>
                      <w:lang w:bidi="ar"/>
                    </w:rPr>
                    <w:t>相关商品市场</w:t>
                  </w:r>
                </w:p>
              </w:tc>
              <w:tc>
                <w:tcPr>
                  <w:tcW w:w="1985" w:type="dxa"/>
                  <w:tcBorders>
                    <w:top w:val="single" w:color="000000" w:sz="4" w:space="0"/>
                    <w:left w:val="single" w:color="000000" w:sz="4" w:space="0"/>
                    <w:bottom w:val="single" w:color="000000" w:sz="4" w:space="0"/>
                    <w:right w:val="single" w:color="000000" w:sz="4" w:space="0"/>
                    <w:tl2br w:val="nil"/>
                    <w:tr2bl w:val="nil"/>
                  </w:tcBorders>
                  <w:noWrap w:val="0"/>
                  <w:tcMar>
                    <w:top w:w="0" w:type="dxa"/>
                    <w:left w:w="108" w:type="dxa"/>
                    <w:bottom w:w="0" w:type="dxa"/>
                    <w:right w:w="108" w:type="dxa"/>
                  </w:tcMar>
                  <w:vAlign w:val="top"/>
                </w:tcPr>
                <w:p>
                  <w:pPr>
                    <w:pStyle w:val="7"/>
                    <w:keepNext w:val="0"/>
                    <w:keepLines w:val="0"/>
                    <w:pageBreakBefore w:val="0"/>
                    <w:kinsoku/>
                    <w:wordWrap/>
                    <w:overflowPunct/>
                    <w:topLinePunct w:val="0"/>
                    <w:autoSpaceDE/>
                    <w:autoSpaceDN/>
                    <w:bidi w:val="0"/>
                    <w:adjustRightInd w:val="0"/>
                    <w:snapToGrid w:val="0"/>
                    <w:spacing w:beforeLines="0" w:after="0" w:afterLines="0" w:line="320" w:lineRule="exact"/>
                    <w:jc w:val="left"/>
                    <w:textAlignment w:val="auto"/>
                    <w:rPr>
                      <w:rFonts w:hint="default"/>
                      <w:sz w:val="24"/>
                      <w:szCs w:val="24"/>
                      <w:lang w:bidi="ar"/>
                    </w:rPr>
                  </w:pPr>
                  <w:r>
                    <w:rPr>
                      <w:rFonts w:hint="default" w:ascii="宋体"/>
                      <w:sz w:val="24"/>
                      <w:szCs w:val="24"/>
                      <w:lang w:bidi="ar"/>
                    </w:rPr>
                    <w:t>相关地域市场</w:t>
                  </w:r>
                </w:p>
              </w:tc>
              <w:tc>
                <w:tcPr>
                  <w:tcW w:w="2985" w:type="dxa"/>
                  <w:tcBorders>
                    <w:top w:val="single" w:color="000000" w:sz="4" w:space="0"/>
                    <w:left w:val="single" w:color="000000" w:sz="4" w:space="0"/>
                    <w:bottom w:val="single" w:color="000000" w:sz="4" w:space="0"/>
                    <w:right w:val="single" w:color="000000" w:sz="4" w:space="0"/>
                    <w:tl2br w:val="nil"/>
                    <w:tr2bl w:val="nil"/>
                  </w:tcBorders>
                  <w:noWrap w:val="0"/>
                  <w:tcMar>
                    <w:top w:w="0" w:type="dxa"/>
                    <w:left w:w="108" w:type="dxa"/>
                    <w:bottom w:w="0" w:type="dxa"/>
                    <w:right w:w="108" w:type="dxa"/>
                  </w:tcMar>
                  <w:vAlign w:val="top"/>
                </w:tcPr>
                <w:p>
                  <w:pPr>
                    <w:pStyle w:val="7"/>
                    <w:keepNext w:val="0"/>
                    <w:keepLines w:val="0"/>
                    <w:pageBreakBefore w:val="0"/>
                    <w:kinsoku/>
                    <w:wordWrap/>
                    <w:overflowPunct/>
                    <w:topLinePunct w:val="0"/>
                    <w:autoSpaceDE/>
                    <w:autoSpaceDN/>
                    <w:bidi w:val="0"/>
                    <w:adjustRightInd w:val="0"/>
                    <w:snapToGrid w:val="0"/>
                    <w:spacing w:beforeLines="0" w:after="0" w:afterLines="0" w:line="320" w:lineRule="exact"/>
                    <w:jc w:val="left"/>
                    <w:textAlignment w:val="auto"/>
                    <w:rPr>
                      <w:rFonts w:hint="default"/>
                      <w:sz w:val="24"/>
                      <w:szCs w:val="24"/>
                      <w:lang w:bidi="ar"/>
                    </w:rPr>
                  </w:pPr>
                  <w:r>
                    <w:rPr>
                      <w:rFonts w:hint="default"/>
                      <w:sz w:val="24"/>
                      <w:szCs w:val="24"/>
                      <w:lang w:bidi="ar"/>
                    </w:rPr>
                    <w:t>2023</w:t>
                  </w:r>
                  <w:r>
                    <w:rPr>
                      <w:rFonts w:hint="default" w:ascii="宋体"/>
                      <w:sz w:val="24"/>
                      <w:szCs w:val="24"/>
                      <w:lang w:bidi="ar"/>
                    </w:rPr>
                    <w:t>年市场份额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 w:type="dxa"/>
                  <w:bottom w:w="0" w:type="dxa"/>
                  <w:right w:w="10" w:type="dxa"/>
                </w:tblCellMar>
              </w:tblPrEx>
              <w:trPr>
                <w:jc w:val="center"/>
              </w:trPr>
              <w:tc>
                <w:tcPr>
                  <w:tcW w:w="2487" w:type="dxa"/>
                  <w:tcBorders>
                    <w:top w:val="single" w:color="000000" w:sz="4" w:space="0"/>
                    <w:left w:val="single" w:color="000000" w:sz="4" w:space="0"/>
                    <w:bottom w:val="single" w:color="000000" w:sz="4" w:space="0"/>
                    <w:right w:val="single" w:color="000000" w:sz="4" w:space="0"/>
                    <w:tl2br w:val="nil"/>
                    <w:tr2bl w:val="nil"/>
                  </w:tcBorders>
                  <w:noWrap w:val="0"/>
                  <w:tcMar>
                    <w:top w:w="0" w:type="dxa"/>
                    <w:left w:w="108" w:type="dxa"/>
                    <w:bottom w:w="0" w:type="dxa"/>
                    <w:right w:w="108" w:type="dxa"/>
                  </w:tcMar>
                  <w:vAlign w:val="top"/>
                </w:tcPr>
                <w:p>
                  <w:pPr>
                    <w:pStyle w:val="7"/>
                    <w:keepNext w:val="0"/>
                    <w:keepLines w:val="0"/>
                    <w:pageBreakBefore w:val="0"/>
                    <w:kinsoku/>
                    <w:wordWrap/>
                    <w:overflowPunct/>
                    <w:topLinePunct w:val="0"/>
                    <w:autoSpaceDE/>
                    <w:autoSpaceDN/>
                    <w:bidi w:val="0"/>
                    <w:adjustRightInd w:val="0"/>
                    <w:snapToGrid w:val="0"/>
                    <w:spacing w:beforeLines="0" w:after="0" w:afterLines="0" w:line="320" w:lineRule="exact"/>
                    <w:jc w:val="left"/>
                    <w:textAlignment w:val="auto"/>
                    <w:rPr>
                      <w:rFonts w:hint="default"/>
                      <w:sz w:val="24"/>
                      <w:szCs w:val="24"/>
                      <w:lang w:bidi="ar"/>
                    </w:rPr>
                  </w:pPr>
                  <w:r>
                    <w:rPr>
                      <w:rFonts w:hint="eastAsia" w:ascii="宋体" w:hAnsi="宋体" w:cs="宋体"/>
                      <w:color w:val="000000"/>
                      <w:kern w:val="0"/>
                      <w:sz w:val="24"/>
                      <w:szCs w:val="24"/>
                      <w:lang w:val="en-US" w:eastAsia="zh-CN" w:bidi="ar-AE"/>
                    </w:rPr>
                    <w:t>光储充一体化</w:t>
                  </w:r>
                  <w:r>
                    <w:rPr>
                      <w:rFonts w:hint="default" w:ascii="宋体" w:hAnsi="宋体" w:cs="宋体"/>
                      <w:color w:val="000000"/>
                      <w:kern w:val="0"/>
                      <w:sz w:val="24"/>
                      <w:szCs w:val="24"/>
                      <w:lang w:bidi="ar-AE"/>
                    </w:rPr>
                    <w:t>市场</w:t>
                  </w:r>
                </w:p>
              </w:tc>
              <w:tc>
                <w:tcPr>
                  <w:tcW w:w="1985" w:type="dxa"/>
                  <w:tcBorders>
                    <w:top w:val="single" w:color="000000" w:sz="4" w:space="0"/>
                    <w:left w:val="single" w:color="000000" w:sz="4" w:space="0"/>
                    <w:bottom w:val="single" w:color="000000" w:sz="4" w:space="0"/>
                    <w:right w:val="single" w:color="000000" w:sz="4" w:space="0"/>
                    <w:tl2br w:val="nil"/>
                    <w:tr2bl w:val="nil"/>
                  </w:tcBorders>
                  <w:noWrap w:val="0"/>
                  <w:tcMar>
                    <w:top w:w="0" w:type="dxa"/>
                    <w:left w:w="108" w:type="dxa"/>
                    <w:bottom w:w="0" w:type="dxa"/>
                    <w:right w:w="108" w:type="dxa"/>
                  </w:tcMar>
                  <w:vAlign w:val="top"/>
                </w:tcPr>
                <w:p>
                  <w:pPr>
                    <w:pStyle w:val="7"/>
                    <w:keepNext w:val="0"/>
                    <w:keepLines w:val="0"/>
                    <w:pageBreakBefore w:val="0"/>
                    <w:kinsoku/>
                    <w:wordWrap/>
                    <w:overflowPunct/>
                    <w:topLinePunct w:val="0"/>
                    <w:autoSpaceDE/>
                    <w:autoSpaceDN/>
                    <w:bidi w:val="0"/>
                    <w:adjustRightInd w:val="0"/>
                    <w:snapToGrid w:val="0"/>
                    <w:spacing w:beforeLines="0" w:after="0" w:afterLines="0" w:line="320" w:lineRule="exact"/>
                    <w:jc w:val="left"/>
                    <w:textAlignment w:val="auto"/>
                    <w:rPr>
                      <w:rFonts w:hint="default" w:eastAsia="宋体"/>
                      <w:sz w:val="24"/>
                      <w:szCs w:val="24"/>
                      <w:lang w:val="en-US" w:eastAsia="zh-CN" w:bidi="ar"/>
                    </w:rPr>
                  </w:pPr>
                  <w:r>
                    <w:rPr>
                      <w:rFonts w:hint="eastAsia" w:ascii="宋体" w:hAnsi="宋体" w:cs="宋体"/>
                      <w:sz w:val="24"/>
                      <w:szCs w:val="24"/>
                      <w:lang w:val="en-US" w:eastAsia="zh-CN"/>
                    </w:rPr>
                    <w:t>中国境内</w:t>
                  </w:r>
                </w:p>
              </w:tc>
              <w:tc>
                <w:tcPr>
                  <w:tcW w:w="2985" w:type="dxa"/>
                  <w:tcBorders>
                    <w:top w:val="single" w:color="000000" w:sz="4" w:space="0"/>
                    <w:left w:val="single" w:color="000000" w:sz="4" w:space="0"/>
                    <w:bottom w:val="single" w:color="000000" w:sz="4" w:space="0"/>
                    <w:right w:val="single" w:color="000000" w:sz="4" w:space="0"/>
                    <w:tl2br w:val="nil"/>
                    <w:tr2bl w:val="nil"/>
                  </w:tcBorders>
                  <w:noWrap w:val="0"/>
                  <w:tcMar>
                    <w:top w:w="0" w:type="dxa"/>
                    <w:left w:w="108" w:type="dxa"/>
                    <w:bottom w:w="0" w:type="dxa"/>
                    <w:right w:w="108" w:type="dxa"/>
                  </w:tcMar>
                  <w:vAlign w:val="top"/>
                </w:tcPr>
                <w:p>
                  <w:pPr>
                    <w:pStyle w:val="7"/>
                    <w:keepNext w:val="0"/>
                    <w:keepLines w:val="0"/>
                    <w:pageBreakBefore w:val="0"/>
                    <w:widowControl/>
                    <w:kinsoku/>
                    <w:wordWrap/>
                    <w:overflowPunct/>
                    <w:topLinePunct w:val="0"/>
                    <w:autoSpaceDE/>
                    <w:autoSpaceDN/>
                    <w:bidi w:val="0"/>
                    <w:adjustRightInd w:val="0"/>
                    <w:snapToGrid w:val="0"/>
                    <w:spacing w:beforeLines="0" w:after="0" w:afterLines="0" w:line="320" w:lineRule="exact"/>
                    <w:jc w:val="left"/>
                    <w:textAlignment w:val="auto"/>
                    <w:rPr>
                      <w:rFonts w:hint="default" w:ascii="宋体" w:hAnsi="宋体" w:cs="宋体"/>
                      <w:color w:val="000000"/>
                      <w:kern w:val="0"/>
                      <w:sz w:val="24"/>
                      <w:szCs w:val="24"/>
                      <w:lang w:bidi="ar-AE"/>
                    </w:rPr>
                  </w:pPr>
                  <w:r>
                    <w:rPr>
                      <w:rFonts w:hint="default" w:ascii="宋体" w:hAnsi="宋体" w:cs="宋体"/>
                      <w:color w:val="000000"/>
                      <w:kern w:val="0"/>
                      <w:sz w:val="24"/>
                      <w:szCs w:val="24"/>
                      <w:lang w:bidi="ar-AE"/>
                    </w:rPr>
                    <w:t>合营企业（预估）：0-5%</w:t>
                  </w:r>
                </w:p>
                <w:p>
                  <w:pPr>
                    <w:pStyle w:val="7"/>
                    <w:keepNext w:val="0"/>
                    <w:keepLines w:val="0"/>
                    <w:pageBreakBefore w:val="0"/>
                    <w:widowControl/>
                    <w:kinsoku/>
                    <w:wordWrap/>
                    <w:overflowPunct/>
                    <w:topLinePunct w:val="0"/>
                    <w:autoSpaceDE/>
                    <w:autoSpaceDN/>
                    <w:bidi w:val="0"/>
                    <w:adjustRightInd w:val="0"/>
                    <w:snapToGrid w:val="0"/>
                    <w:spacing w:beforeLines="0" w:after="0" w:afterLines="0" w:line="320" w:lineRule="exact"/>
                    <w:jc w:val="left"/>
                    <w:textAlignment w:val="auto"/>
                    <w:rPr>
                      <w:rFonts w:hint="default" w:ascii="宋体" w:hAnsi="宋体" w:cs="宋体"/>
                      <w:color w:val="000000"/>
                      <w:kern w:val="0"/>
                      <w:sz w:val="24"/>
                      <w:szCs w:val="24"/>
                      <w:lang w:bidi="ar-AE"/>
                    </w:rPr>
                  </w:pPr>
                  <w:r>
                    <w:rPr>
                      <w:rFonts w:hint="eastAsia" w:ascii="宋体" w:hAnsi="宋体" w:cs="宋体"/>
                      <w:color w:val="000000"/>
                      <w:kern w:val="0"/>
                      <w:sz w:val="24"/>
                      <w:szCs w:val="24"/>
                      <w:lang w:val="en-US" w:eastAsia="zh-CN" w:bidi="ar-AE"/>
                    </w:rPr>
                    <w:t>朗新无锡</w:t>
                  </w:r>
                  <w:r>
                    <w:rPr>
                      <w:rFonts w:hint="default" w:ascii="宋体" w:hAnsi="宋体" w:cs="宋体"/>
                      <w:color w:val="000000"/>
                      <w:kern w:val="0"/>
                      <w:sz w:val="24"/>
                      <w:szCs w:val="24"/>
                      <w:lang w:bidi="ar-AE"/>
                    </w:rPr>
                    <w:t>：0-5%</w:t>
                  </w:r>
                </w:p>
                <w:p>
                  <w:pPr>
                    <w:pStyle w:val="7"/>
                    <w:keepNext w:val="0"/>
                    <w:keepLines w:val="0"/>
                    <w:pageBreakBefore w:val="0"/>
                    <w:kinsoku/>
                    <w:wordWrap/>
                    <w:overflowPunct/>
                    <w:topLinePunct w:val="0"/>
                    <w:autoSpaceDE/>
                    <w:autoSpaceDN/>
                    <w:bidi w:val="0"/>
                    <w:adjustRightInd w:val="0"/>
                    <w:snapToGrid w:val="0"/>
                    <w:spacing w:beforeLines="0" w:after="0" w:afterLines="0" w:line="320" w:lineRule="exact"/>
                    <w:jc w:val="left"/>
                    <w:textAlignment w:val="auto"/>
                    <w:rPr>
                      <w:rFonts w:hint="default"/>
                      <w:sz w:val="24"/>
                      <w:szCs w:val="24"/>
                      <w:lang w:bidi="ar"/>
                    </w:rPr>
                  </w:pPr>
                  <w:r>
                    <w:rPr>
                      <w:rFonts w:hint="default" w:ascii="宋体" w:hAnsi="宋体" w:cs="宋体"/>
                      <w:color w:val="000000"/>
                      <w:kern w:val="0"/>
                      <w:sz w:val="24"/>
                      <w:szCs w:val="24"/>
                      <w:lang w:bidi="ar-AE"/>
                    </w:rPr>
                    <w:t>各方合计：0-5%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 w:type="dxa"/>
                  <w:bottom w:w="0" w:type="dxa"/>
                  <w:right w:w="10" w:type="dxa"/>
                </w:tblCellMar>
              </w:tblPrEx>
              <w:trPr>
                <w:jc w:val="center"/>
              </w:trPr>
              <w:tc>
                <w:tcPr>
                  <w:tcW w:w="2487" w:type="dxa"/>
                  <w:tcBorders>
                    <w:top w:val="single" w:color="000000" w:sz="4" w:space="0"/>
                    <w:left w:val="single" w:color="000000" w:sz="4" w:space="0"/>
                    <w:bottom w:val="single" w:color="000000" w:sz="4" w:space="0"/>
                    <w:right w:val="single" w:color="000000" w:sz="4" w:space="0"/>
                    <w:tl2br w:val="nil"/>
                    <w:tr2bl w:val="nil"/>
                  </w:tcBorders>
                  <w:noWrap w:val="0"/>
                  <w:tcMar>
                    <w:top w:w="0" w:type="dxa"/>
                    <w:left w:w="108" w:type="dxa"/>
                    <w:bottom w:w="0" w:type="dxa"/>
                    <w:right w:w="108" w:type="dxa"/>
                  </w:tcMar>
                  <w:vAlign w:val="top"/>
                </w:tcPr>
                <w:p>
                  <w:pPr>
                    <w:pStyle w:val="7"/>
                    <w:keepNext w:val="0"/>
                    <w:keepLines w:val="0"/>
                    <w:pageBreakBefore w:val="0"/>
                    <w:kinsoku/>
                    <w:wordWrap/>
                    <w:overflowPunct/>
                    <w:topLinePunct w:val="0"/>
                    <w:autoSpaceDE/>
                    <w:autoSpaceDN/>
                    <w:bidi w:val="0"/>
                    <w:adjustRightInd w:val="0"/>
                    <w:snapToGrid w:val="0"/>
                    <w:spacing w:beforeLines="0" w:after="0" w:afterLines="0" w:line="320" w:lineRule="exact"/>
                    <w:jc w:val="left"/>
                    <w:textAlignment w:val="auto"/>
                    <w:rPr>
                      <w:rFonts w:hint="default"/>
                      <w:sz w:val="24"/>
                      <w:szCs w:val="24"/>
                      <w:lang w:bidi="ar"/>
                    </w:rPr>
                  </w:pPr>
                  <w:r>
                    <w:rPr>
                      <w:rFonts w:hint="default" w:ascii="宋体" w:hAnsi="宋体" w:cs="宋体"/>
                      <w:color w:val="000000"/>
                      <w:kern w:val="0"/>
                      <w:sz w:val="24"/>
                      <w:szCs w:val="24"/>
                      <w:lang w:bidi="ar-AE"/>
                    </w:rPr>
                    <w:t>园区能源管理系统市场</w:t>
                  </w:r>
                </w:p>
              </w:tc>
              <w:tc>
                <w:tcPr>
                  <w:tcW w:w="1985" w:type="dxa"/>
                  <w:tcBorders>
                    <w:top w:val="single" w:color="000000" w:sz="4" w:space="0"/>
                    <w:left w:val="single" w:color="000000" w:sz="4" w:space="0"/>
                    <w:bottom w:val="single" w:color="000000" w:sz="4" w:space="0"/>
                    <w:right w:val="single" w:color="000000" w:sz="4" w:space="0"/>
                    <w:tl2br w:val="nil"/>
                    <w:tr2bl w:val="nil"/>
                  </w:tcBorders>
                  <w:noWrap w:val="0"/>
                  <w:tcMar>
                    <w:top w:w="0" w:type="dxa"/>
                    <w:left w:w="108" w:type="dxa"/>
                    <w:bottom w:w="0" w:type="dxa"/>
                    <w:right w:w="108" w:type="dxa"/>
                  </w:tcMar>
                  <w:vAlign w:val="top"/>
                </w:tcPr>
                <w:p>
                  <w:pPr>
                    <w:pStyle w:val="7"/>
                    <w:keepNext w:val="0"/>
                    <w:keepLines w:val="0"/>
                    <w:pageBreakBefore w:val="0"/>
                    <w:kinsoku/>
                    <w:wordWrap/>
                    <w:overflowPunct/>
                    <w:topLinePunct w:val="0"/>
                    <w:autoSpaceDE/>
                    <w:autoSpaceDN/>
                    <w:bidi w:val="0"/>
                    <w:adjustRightInd w:val="0"/>
                    <w:snapToGrid w:val="0"/>
                    <w:spacing w:beforeLines="0" w:after="0" w:afterLines="0" w:line="320" w:lineRule="exact"/>
                    <w:jc w:val="left"/>
                    <w:textAlignment w:val="auto"/>
                    <w:rPr>
                      <w:rFonts w:hint="eastAsia" w:eastAsia="宋体"/>
                      <w:sz w:val="24"/>
                      <w:szCs w:val="24"/>
                      <w:lang w:eastAsia="zh-CN" w:bidi="ar"/>
                    </w:rPr>
                  </w:pPr>
                  <w:r>
                    <w:rPr>
                      <w:rFonts w:hint="eastAsia" w:ascii="宋体" w:hAnsi="宋体" w:cs="宋体"/>
                      <w:sz w:val="24"/>
                      <w:szCs w:val="24"/>
                      <w:lang w:val="en-US" w:eastAsia="zh-CN"/>
                    </w:rPr>
                    <w:t>中国境内</w:t>
                  </w:r>
                </w:p>
              </w:tc>
              <w:tc>
                <w:tcPr>
                  <w:tcW w:w="2985" w:type="dxa"/>
                  <w:tcBorders>
                    <w:top w:val="single" w:color="000000" w:sz="4" w:space="0"/>
                    <w:left w:val="single" w:color="000000" w:sz="4" w:space="0"/>
                    <w:bottom w:val="single" w:color="000000" w:sz="4" w:space="0"/>
                    <w:right w:val="single" w:color="000000" w:sz="4" w:space="0"/>
                    <w:tl2br w:val="nil"/>
                    <w:tr2bl w:val="nil"/>
                  </w:tcBorders>
                  <w:noWrap w:val="0"/>
                  <w:tcMar>
                    <w:top w:w="0" w:type="dxa"/>
                    <w:left w:w="108" w:type="dxa"/>
                    <w:bottom w:w="0" w:type="dxa"/>
                    <w:right w:w="108" w:type="dxa"/>
                  </w:tcMar>
                  <w:vAlign w:val="top"/>
                </w:tcPr>
                <w:p>
                  <w:pPr>
                    <w:pStyle w:val="7"/>
                    <w:keepNext w:val="0"/>
                    <w:keepLines w:val="0"/>
                    <w:pageBreakBefore w:val="0"/>
                    <w:widowControl/>
                    <w:kinsoku/>
                    <w:wordWrap/>
                    <w:overflowPunct/>
                    <w:topLinePunct w:val="0"/>
                    <w:autoSpaceDE/>
                    <w:autoSpaceDN/>
                    <w:bidi w:val="0"/>
                    <w:adjustRightInd w:val="0"/>
                    <w:snapToGrid w:val="0"/>
                    <w:spacing w:beforeLines="0" w:after="0" w:afterLines="0" w:line="320" w:lineRule="exact"/>
                    <w:jc w:val="left"/>
                    <w:textAlignment w:val="auto"/>
                    <w:rPr>
                      <w:rFonts w:hint="default" w:ascii="宋体" w:hAnsi="宋体" w:cs="宋体"/>
                      <w:color w:val="000000"/>
                      <w:kern w:val="0"/>
                      <w:sz w:val="24"/>
                      <w:szCs w:val="24"/>
                      <w:lang w:bidi="ar-AE"/>
                    </w:rPr>
                  </w:pPr>
                  <w:r>
                    <w:rPr>
                      <w:rFonts w:hint="default" w:ascii="宋体" w:hAnsi="宋体" w:cs="宋体"/>
                      <w:color w:val="000000"/>
                      <w:kern w:val="0"/>
                      <w:sz w:val="24"/>
                      <w:szCs w:val="24"/>
                      <w:lang w:bidi="ar-AE"/>
                    </w:rPr>
                    <w:t>合营企业（预估）：0-5%</w:t>
                  </w:r>
                </w:p>
                <w:p>
                  <w:pPr>
                    <w:pStyle w:val="7"/>
                    <w:keepNext w:val="0"/>
                    <w:keepLines w:val="0"/>
                    <w:pageBreakBefore w:val="0"/>
                    <w:widowControl/>
                    <w:kinsoku/>
                    <w:wordWrap/>
                    <w:overflowPunct/>
                    <w:topLinePunct w:val="0"/>
                    <w:autoSpaceDE/>
                    <w:autoSpaceDN/>
                    <w:bidi w:val="0"/>
                    <w:adjustRightInd w:val="0"/>
                    <w:snapToGrid w:val="0"/>
                    <w:spacing w:beforeLines="0" w:after="0" w:afterLines="0" w:line="320" w:lineRule="exact"/>
                    <w:jc w:val="left"/>
                    <w:textAlignment w:val="auto"/>
                    <w:rPr>
                      <w:rFonts w:hint="default" w:ascii="宋体" w:hAnsi="宋体" w:cs="宋体"/>
                      <w:color w:val="000000"/>
                      <w:kern w:val="0"/>
                      <w:sz w:val="24"/>
                      <w:szCs w:val="24"/>
                      <w:lang w:bidi="ar-AE"/>
                    </w:rPr>
                  </w:pPr>
                  <w:r>
                    <w:rPr>
                      <w:rFonts w:hint="eastAsia" w:ascii="宋体" w:hAnsi="宋体" w:cs="宋体"/>
                      <w:color w:val="000000"/>
                      <w:kern w:val="0"/>
                      <w:sz w:val="24"/>
                      <w:szCs w:val="24"/>
                      <w:lang w:val="en-US" w:eastAsia="zh-CN" w:bidi="ar-AE"/>
                    </w:rPr>
                    <w:t>朗新无锡</w:t>
                  </w:r>
                  <w:r>
                    <w:rPr>
                      <w:rFonts w:hint="default" w:ascii="宋体" w:hAnsi="宋体" w:cs="宋体"/>
                      <w:color w:val="000000"/>
                      <w:kern w:val="0"/>
                      <w:sz w:val="24"/>
                      <w:szCs w:val="24"/>
                      <w:lang w:bidi="ar-AE"/>
                    </w:rPr>
                    <w:t>：0-5%</w:t>
                  </w:r>
                </w:p>
                <w:p>
                  <w:pPr>
                    <w:pStyle w:val="7"/>
                    <w:keepNext w:val="0"/>
                    <w:keepLines w:val="0"/>
                    <w:pageBreakBefore w:val="0"/>
                    <w:kinsoku/>
                    <w:wordWrap/>
                    <w:overflowPunct/>
                    <w:topLinePunct w:val="0"/>
                    <w:autoSpaceDE/>
                    <w:autoSpaceDN/>
                    <w:bidi w:val="0"/>
                    <w:adjustRightInd w:val="0"/>
                    <w:snapToGrid w:val="0"/>
                    <w:spacing w:beforeLines="0" w:after="0" w:afterLines="0" w:line="320" w:lineRule="exact"/>
                    <w:jc w:val="left"/>
                    <w:textAlignment w:val="auto"/>
                    <w:rPr>
                      <w:rFonts w:hint="default"/>
                      <w:sz w:val="24"/>
                      <w:szCs w:val="24"/>
                      <w:lang w:bidi="ar"/>
                    </w:rPr>
                  </w:pPr>
                  <w:r>
                    <w:rPr>
                      <w:rFonts w:hint="default" w:ascii="宋体" w:hAnsi="宋体" w:cs="宋体"/>
                      <w:color w:val="000000"/>
                      <w:kern w:val="0"/>
                      <w:sz w:val="24"/>
                      <w:szCs w:val="24"/>
                      <w:lang w:bidi="ar-AE"/>
                    </w:rPr>
                    <w:t>各方合计：0-5%</w:t>
                  </w:r>
                </w:p>
              </w:tc>
            </w:tr>
          </w:tbl>
          <w:p>
            <w:pPr>
              <w:pStyle w:val="7"/>
              <w:keepNext w:val="0"/>
              <w:keepLines w:val="0"/>
              <w:pageBreakBefore w:val="0"/>
              <w:widowControl/>
              <w:kinsoku/>
              <w:wordWrap/>
              <w:overflowPunct/>
              <w:topLinePunct w:val="0"/>
              <w:autoSpaceDE/>
              <w:autoSpaceDN/>
              <w:bidi w:val="0"/>
              <w:adjustRightInd w:val="0"/>
              <w:snapToGrid w:val="0"/>
              <w:spacing w:after="0" w:line="240" w:lineRule="auto"/>
              <w:jc w:val="both"/>
              <w:textAlignment w:val="auto"/>
              <w:rPr>
                <w:rFonts w:hint="eastAsia" w:cs="Times New Roman"/>
                <w:b w:val="0"/>
                <w:bCs/>
                <w:color w:val="000000"/>
                <w:kern w:val="0"/>
                <w:sz w:val="24"/>
                <w:szCs w:val="24"/>
                <w:lang w:val="en-US" w:eastAsia="zh-CN" w:bidi="ar-AE"/>
              </w:rPr>
            </w:pPr>
          </w:p>
          <w:p>
            <w:pPr>
              <w:pStyle w:val="7"/>
              <w:keepNext w:val="0"/>
              <w:keepLines w:val="0"/>
              <w:pageBreakBefore w:val="0"/>
              <w:widowControl/>
              <w:kinsoku/>
              <w:wordWrap/>
              <w:overflowPunct/>
              <w:topLinePunct w:val="0"/>
              <w:autoSpaceDE/>
              <w:autoSpaceDN/>
              <w:bidi w:val="0"/>
              <w:adjustRightInd w:val="0"/>
              <w:snapToGrid w:val="0"/>
              <w:spacing w:after="0" w:line="240" w:lineRule="auto"/>
              <w:jc w:val="both"/>
              <w:textAlignment w:val="auto"/>
              <w:rPr>
                <w:rFonts w:hint="eastAsia" w:cs="Times New Roman"/>
                <w:b/>
                <w:bCs w:val="0"/>
                <w:color w:val="000000"/>
                <w:kern w:val="0"/>
                <w:sz w:val="24"/>
                <w:szCs w:val="24"/>
                <w:lang w:val="en-US" w:eastAsia="zh-CN" w:bidi="ar-AE"/>
              </w:rPr>
            </w:pPr>
            <w:r>
              <w:rPr>
                <w:rFonts w:hint="eastAsia" w:cs="Times New Roman"/>
                <w:b/>
                <w:bCs w:val="0"/>
                <w:color w:val="000000"/>
                <w:kern w:val="0"/>
                <w:sz w:val="24"/>
                <w:szCs w:val="24"/>
                <w:lang w:val="en-US" w:eastAsia="zh-CN" w:bidi="ar-AE"/>
              </w:rPr>
              <w:t>纵向关联：</w:t>
            </w:r>
          </w:p>
          <w:tbl>
            <w:tblPr>
              <w:tblStyle w:val="12"/>
              <w:tblW w:w="744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85"/>
              <w:gridCol w:w="2009"/>
              <w:gridCol w:w="29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68" w:type="pct"/>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kinsoku/>
                    <w:wordWrap/>
                    <w:overflowPunct/>
                    <w:topLinePunct w:val="0"/>
                    <w:autoSpaceDE/>
                    <w:autoSpaceDN/>
                    <w:bidi w:val="0"/>
                    <w:spacing w:line="320" w:lineRule="exact"/>
                    <w:jc w:val="left"/>
                    <w:textAlignment w:val="auto"/>
                    <w:rPr>
                      <w:rFonts w:hint="default" w:ascii="宋体" w:hAnsi="宋体" w:cs="宋体"/>
                      <w:b w:val="0"/>
                      <w:bCs/>
                      <w:sz w:val="24"/>
                      <w:szCs w:val="24"/>
                      <w:lang w:val="en-GB"/>
                    </w:rPr>
                  </w:pPr>
                  <w:r>
                    <w:rPr>
                      <w:rFonts w:hint="default" w:ascii="宋体" w:hAnsi="宋体" w:cs="宋体"/>
                      <w:b w:val="0"/>
                      <w:bCs/>
                      <w:sz w:val="24"/>
                      <w:szCs w:val="24"/>
                    </w:rPr>
                    <w:t>相关商品市场</w:t>
                  </w:r>
                </w:p>
              </w:tc>
              <w:tc>
                <w:tcPr>
                  <w:tcW w:w="1348" w:type="pct"/>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kinsoku/>
                    <w:wordWrap/>
                    <w:overflowPunct/>
                    <w:topLinePunct w:val="0"/>
                    <w:autoSpaceDE/>
                    <w:autoSpaceDN/>
                    <w:bidi w:val="0"/>
                    <w:spacing w:line="320" w:lineRule="exact"/>
                    <w:jc w:val="left"/>
                    <w:textAlignment w:val="auto"/>
                    <w:rPr>
                      <w:rFonts w:hint="default" w:ascii="宋体" w:hAnsi="宋体" w:cs="宋体"/>
                      <w:b w:val="0"/>
                      <w:bCs/>
                      <w:sz w:val="24"/>
                      <w:szCs w:val="24"/>
                      <w:lang w:val="en-GB"/>
                    </w:rPr>
                  </w:pPr>
                  <w:r>
                    <w:rPr>
                      <w:rFonts w:hint="default" w:ascii="宋体" w:hAnsi="宋体" w:cs="宋体"/>
                      <w:b w:val="0"/>
                      <w:bCs/>
                      <w:sz w:val="24"/>
                      <w:szCs w:val="24"/>
                    </w:rPr>
                    <w:t>相关地域市场</w:t>
                  </w:r>
                </w:p>
              </w:tc>
              <w:tc>
                <w:tcPr>
                  <w:tcW w:w="1983" w:type="pct"/>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kinsoku/>
                    <w:wordWrap/>
                    <w:overflowPunct/>
                    <w:topLinePunct w:val="0"/>
                    <w:autoSpaceDE/>
                    <w:autoSpaceDN/>
                    <w:bidi w:val="0"/>
                    <w:spacing w:line="320" w:lineRule="exact"/>
                    <w:jc w:val="left"/>
                    <w:textAlignment w:val="auto"/>
                    <w:rPr>
                      <w:rFonts w:hint="default" w:ascii="宋体" w:hAnsi="宋体" w:cs="宋体"/>
                      <w:b w:val="0"/>
                      <w:bCs/>
                      <w:sz w:val="24"/>
                      <w:szCs w:val="24"/>
                      <w:lang w:val="en-GB"/>
                    </w:rPr>
                  </w:pPr>
                  <w:r>
                    <w:rPr>
                      <w:rFonts w:hint="default" w:ascii="宋体" w:hAnsi="宋体" w:cs="宋体"/>
                      <w:b w:val="0"/>
                      <w:bCs/>
                      <w:sz w:val="24"/>
                      <w:szCs w:val="24"/>
                      <w:lang w:val="en-GB"/>
                    </w:rPr>
                    <w:t>2023年市场份额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5" w:hRule="atLeast"/>
                <w:jc w:val="center"/>
              </w:trPr>
              <w:tc>
                <w:tcPr>
                  <w:tcW w:w="1668" w:type="pct"/>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kinsoku/>
                    <w:wordWrap/>
                    <w:overflowPunct/>
                    <w:topLinePunct w:val="0"/>
                    <w:autoSpaceDE/>
                    <w:autoSpaceDN/>
                    <w:bidi w:val="0"/>
                    <w:spacing w:line="320" w:lineRule="exact"/>
                    <w:jc w:val="left"/>
                    <w:textAlignment w:val="auto"/>
                    <w:rPr>
                      <w:rFonts w:hint="default" w:ascii="宋体" w:hAnsi="宋体" w:cs="宋体"/>
                      <w:sz w:val="24"/>
                      <w:szCs w:val="24"/>
                    </w:rPr>
                  </w:pPr>
                  <w:r>
                    <w:rPr>
                      <w:rFonts w:hint="default" w:ascii="宋体" w:hAnsi="宋体" w:cs="宋体"/>
                      <w:sz w:val="24"/>
                      <w:szCs w:val="24"/>
                    </w:rPr>
                    <w:t>上游：</w:t>
                  </w:r>
                  <w:r>
                    <w:rPr>
                      <w:rFonts w:hint="eastAsia" w:ascii="宋体" w:hAnsi="宋体" w:cs="宋体"/>
                      <w:sz w:val="24"/>
                      <w:szCs w:val="24"/>
                      <w:lang w:eastAsia="zh-CN"/>
                    </w:rPr>
                    <w:t>智慧园区系统集成服务</w:t>
                  </w:r>
                  <w:r>
                    <w:rPr>
                      <w:rFonts w:hint="default" w:ascii="宋体" w:hAnsi="宋体" w:cs="宋体"/>
                      <w:sz w:val="24"/>
                      <w:szCs w:val="24"/>
                    </w:rPr>
                    <w:t>市场</w:t>
                  </w:r>
                </w:p>
                <w:p>
                  <w:pPr>
                    <w:keepNext w:val="0"/>
                    <w:keepLines w:val="0"/>
                    <w:pageBreakBefore w:val="0"/>
                    <w:kinsoku/>
                    <w:wordWrap/>
                    <w:overflowPunct/>
                    <w:topLinePunct w:val="0"/>
                    <w:autoSpaceDE/>
                    <w:autoSpaceDN/>
                    <w:bidi w:val="0"/>
                    <w:spacing w:line="320" w:lineRule="exact"/>
                    <w:jc w:val="left"/>
                    <w:textAlignment w:val="auto"/>
                    <w:rPr>
                      <w:rFonts w:hint="default" w:ascii="宋体" w:hAnsi="宋体" w:cs="宋体"/>
                      <w:sz w:val="24"/>
                      <w:szCs w:val="24"/>
                    </w:rPr>
                  </w:pPr>
                  <w:r>
                    <w:rPr>
                      <w:rFonts w:hint="default" w:ascii="宋体" w:hAnsi="宋体" w:cs="宋体"/>
                      <w:sz w:val="24"/>
                      <w:szCs w:val="24"/>
                    </w:rPr>
                    <w:t>下游：</w:t>
                  </w:r>
                  <w:r>
                    <w:rPr>
                      <w:rFonts w:hint="eastAsia" w:ascii="宋体" w:hAnsi="宋体" w:cs="宋体"/>
                      <w:color w:val="000000"/>
                      <w:kern w:val="0"/>
                      <w:sz w:val="24"/>
                      <w:szCs w:val="24"/>
                      <w:lang w:val="en-US" w:eastAsia="zh-CN" w:bidi="ar-AE"/>
                    </w:rPr>
                    <w:t>光储充一体化</w:t>
                  </w:r>
                  <w:r>
                    <w:rPr>
                      <w:rFonts w:hint="default" w:ascii="宋体" w:hAnsi="宋体" w:cs="宋体"/>
                      <w:sz w:val="24"/>
                      <w:szCs w:val="24"/>
                    </w:rPr>
                    <w:t>市场</w:t>
                  </w:r>
                </w:p>
              </w:tc>
              <w:tc>
                <w:tcPr>
                  <w:tcW w:w="1348" w:type="pct"/>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kinsoku/>
                    <w:wordWrap/>
                    <w:overflowPunct/>
                    <w:topLinePunct w:val="0"/>
                    <w:autoSpaceDE/>
                    <w:autoSpaceDN/>
                    <w:bidi w:val="0"/>
                    <w:spacing w:line="320" w:lineRule="exact"/>
                    <w:jc w:val="left"/>
                    <w:textAlignment w:val="auto"/>
                    <w:rPr>
                      <w:rFonts w:hint="default" w:ascii="宋体" w:hAnsi="宋体" w:eastAsia="宋体" w:cs="宋体"/>
                      <w:sz w:val="24"/>
                      <w:szCs w:val="24"/>
                      <w:lang w:val="en-US" w:eastAsia="zh-CN"/>
                    </w:rPr>
                  </w:pPr>
                  <w:r>
                    <w:rPr>
                      <w:rFonts w:hint="default" w:ascii="宋体" w:hAnsi="宋体" w:cs="宋体"/>
                      <w:sz w:val="24"/>
                      <w:szCs w:val="24"/>
                    </w:rPr>
                    <w:t>上游：</w:t>
                  </w:r>
                  <w:r>
                    <w:rPr>
                      <w:rFonts w:hint="eastAsia" w:ascii="宋体" w:hAnsi="宋体" w:cs="宋体"/>
                      <w:sz w:val="24"/>
                      <w:szCs w:val="24"/>
                      <w:lang w:val="en-US" w:eastAsia="zh-CN"/>
                    </w:rPr>
                    <w:t>中国境内</w:t>
                  </w:r>
                </w:p>
                <w:p>
                  <w:pPr>
                    <w:keepNext w:val="0"/>
                    <w:keepLines w:val="0"/>
                    <w:pageBreakBefore w:val="0"/>
                    <w:kinsoku/>
                    <w:wordWrap/>
                    <w:overflowPunct/>
                    <w:topLinePunct w:val="0"/>
                    <w:autoSpaceDE/>
                    <w:autoSpaceDN/>
                    <w:bidi w:val="0"/>
                    <w:spacing w:line="320" w:lineRule="exact"/>
                    <w:jc w:val="left"/>
                    <w:textAlignment w:val="auto"/>
                    <w:rPr>
                      <w:rFonts w:hint="default" w:ascii="宋体" w:hAnsi="宋体" w:eastAsia="宋体" w:cs="宋体"/>
                      <w:sz w:val="24"/>
                      <w:szCs w:val="24"/>
                      <w:lang w:val="en-US" w:eastAsia="zh-CN"/>
                    </w:rPr>
                  </w:pPr>
                  <w:r>
                    <w:rPr>
                      <w:rFonts w:hint="default" w:ascii="宋体" w:hAnsi="宋体" w:cs="宋体"/>
                      <w:sz w:val="24"/>
                      <w:szCs w:val="24"/>
                    </w:rPr>
                    <w:t>下游：</w:t>
                  </w:r>
                  <w:r>
                    <w:rPr>
                      <w:rFonts w:hint="eastAsia" w:ascii="宋体" w:hAnsi="宋体" w:cs="宋体"/>
                      <w:sz w:val="24"/>
                      <w:szCs w:val="24"/>
                      <w:lang w:val="en-US" w:eastAsia="zh-CN"/>
                    </w:rPr>
                    <w:t>中国境内</w:t>
                  </w:r>
                </w:p>
              </w:tc>
              <w:tc>
                <w:tcPr>
                  <w:tcW w:w="1983" w:type="pct"/>
                  <w:tcBorders>
                    <w:top w:val="single" w:color="auto" w:sz="4" w:space="0"/>
                    <w:left w:val="single" w:color="auto" w:sz="4" w:space="0"/>
                    <w:bottom w:val="single" w:color="auto" w:sz="4" w:space="0"/>
                    <w:right w:val="single" w:color="auto" w:sz="4" w:space="0"/>
                    <w:tl2br w:val="nil"/>
                    <w:tr2bl w:val="nil"/>
                  </w:tcBorders>
                  <w:noWrap w:val="0"/>
                  <w:vAlign w:val="center"/>
                </w:tcPr>
                <w:p>
                  <w:pPr>
                    <w:pStyle w:val="7"/>
                    <w:keepNext w:val="0"/>
                    <w:keepLines w:val="0"/>
                    <w:pageBreakBefore w:val="0"/>
                    <w:widowControl/>
                    <w:kinsoku/>
                    <w:wordWrap/>
                    <w:overflowPunct/>
                    <w:topLinePunct w:val="0"/>
                    <w:autoSpaceDE/>
                    <w:autoSpaceDN/>
                    <w:bidi w:val="0"/>
                    <w:adjustRightInd w:val="0"/>
                    <w:snapToGrid w:val="0"/>
                    <w:spacing w:after="0" w:line="320" w:lineRule="exact"/>
                    <w:jc w:val="left"/>
                    <w:textAlignment w:val="auto"/>
                    <w:rPr>
                      <w:rFonts w:hint="default" w:ascii="宋体" w:hAnsi="宋体" w:cs="宋体"/>
                      <w:color w:val="000000"/>
                      <w:kern w:val="0"/>
                      <w:sz w:val="24"/>
                      <w:szCs w:val="24"/>
                      <w:lang w:bidi="ar-AE"/>
                    </w:rPr>
                  </w:pPr>
                  <w:r>
                    <w:rPr>
                      <w:rFonts w:hint="default" w:ascii="宋体" w:hAnsi="宋体" w:cs="宋体"/>
                      <w:sz w:val="24"/>
                      <w:szCs w:val="24"/>
                    </w:rPr>
                    <w:t>上游：</w:t>
                  </w:r>
                  <w:r>
                    <w:rPr>
                      <w:rFonts w:hint="eastAsia" w:ascii="宋体" w:hAnsi="宋体" w:cs="宋体"/>
                      <w:color w:val="000000"/>
                      <w:kern w:val="0"/>
                      <w:sz w:val="24"/>
                      <w:szCs w:val="24"/>
                      <w:lang w:val="en-US" w:eastAsia="zh-CN" w:bidi="ar-AE"/>
                    </w:rPr>
                    <w:t>朗新无锡</w:t>
                  </w:r>
                  <w:r>
                    <w:rPr>
                      <w:rFonts w:hint="default" w:ascii="宋体" w:hAnsi="宋体" w:cs="宋体"/>
                      <w:color w:val="000000"/>
                      <w:kern w:val="0"/>
                      <w:sz w:val="24"/>
                      <w:szCs w:val="24"/>
                      <w:lang w:bidi="ar-AE"/>
                    </w:rPr>
                    <w:t>：0-5%</w:t>
                  </w:r>
                </w:p>
                <w:p>
                  <w:pPr>
                    <w:keepNext w:val="0"/>
                    <w:keepLines w:val="0"/>
                    <w:pageBreakBefore w:val="0"/>
                    <w:kinsoku/>
                    <w:wordWrap/>
                    <w:overflowPunct/>
                    <w:topLinePunct w:val="0"/>
                    <w:autoSpaceDE/>
                    <w:autoSpaceDN/>
                    <w:bidi w:val="0"/>
                    <w:spacing w:line="320" w:lineRule="exact"/>
                    <w:jc w:val="left"/>
                    <w:textAlignment w:val="auto"/>
                    <w:rPr>
                      <w:rFonts w:hint="default" w:ascii="宋体" w:hAnsi="宋体" w:cs="宋体"/>
                      <w:color w:val="000000"/>
                      <w:kern w:val="0"/>
                      <w:sz w:val="24"/>
                      <w:szCs w:val="24"/>
                      <w:lang w:bidi="ar-AE"/>
                    </w:rPr>
                  </w:pPr>
                  <w:r>
                    <w:rPr>
                      <w:rFonts w:hint="default" w:ascii="宋体" w:hAnsi="宋体" w:cs="宋体"/>
                      <w:sz w:val="24"/>
                      <w:szCs w:val="24"/>
                    </w:rPr>
                    <w:t>下游：</w:t>
                  </w:r>
                  <w:r>
                    <w:rPr>
                      <w:rFonts w:hint="eastAsia" w:ascii="宋体" w:hAnsi="宋体" w:cs="宋体"/>
                      <w:color w:val="000000"/>
                      <w:kern w:val="0"/>
                      <w:sz w:val="24"/>
                      <w:szCs w:val="24"/>
                      <w:lang w:val="en-US" w:eastAsia="zh-CN" w:bidi="ar-AE"/>
                    </w:rPr>
                    <w:t>如上所述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6" w:hRule="atLeast"/>
                <w:jc w:val="center"/>
              </w:trPr>
              <w:tc>
                <w:tcPr>
                  <w:tcW w:w="1668" w:type="pct"/>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kinsoku/>
                    <w:wordWrap/>
                    <w:overflowPunct/>
                    <w:topLinePunct w:val="0"/>
                    <w:autoSpaceDE/>
                    <w:autoSpaceDN/>
                    <w:bidi w:val="0"/>
                    <w:spacing w:line="320" w:lineRule="exact"/>
                    <w:jc w:val="left"/>
                    <w:textAlignment w:val="auto"/>
                    <w:rPr>
                      <w:rFonts w:hint="default" w:ascii="宋体" w:hAnsi="宋体" w:cs="宋体"/>
                      <w:sz w:val="24"/>
                      <w:szCs w:val="24"/>
                    </w:rPr>
                  </w:pPr>
                  <w:r>
                    <w:rPr>
                      <w:rFonts w:hint="default" w:ascii="宋体" w:hAnsi="宋体" w:cs="宋体"/>
                      <w:sz w:val="24"/>
                      <w:szCs w:val="24"/>
                    </w:rPr>
                    <w:t>上游：</w:t>
                  </w:r>
                  <w:r>
                    <w:rPr>
                      <w:rFonts w:hint="eastAsia" w:ascii="宋体" w:hAnsi="宋体" w:cs="宋体"/>
                      <w:sz w:val="24"/>
                      <w:szCs w:val="24"/>
                      <w:lang w:eastAsia="zh-CN"/>
                    </w:rPr>
                    <w:t>智慧园区系统集成服务</w:t>
                  </w:r>
                  <w:r>
                    <w:rPr>
                      <w:rFonts w:hint="default" w:ascii="宋体" w:hAnsi="宋体" w:cs="宋体"/>
                      <w:sz w:val="24"/>
                      <w:szCs w:val="24"/>
                    </w:rPr>
                    <w:t>市场</w:t>
                  </w:r>
                </w:p>
                <w:p>
                  <w:pPr>
                    <w:keepNext w:val="0"/>
                    <w:keepLines w:val="0"/>
                    <w:pageBreakBefore w:val="0"/>
                    <w:kinsoku/>
                    <w:wordWrap/>
                    <w:overflowPunct/>
                    <w:topLinePunct w:val="0"/>
                    <w:autoSpaceDE/>
                    <w:autoSpaceDN/>
                    <w:bidi w:val="0"/>
                    <w:spacing w:line="320" w:lineRule="exact"/>
                    <w:jc w:val="left"/>
                    <w:textAlignment w:val="auto"/>
                    <w:rPr>
                      <w:rFonts w:hint="default" w:ascii="宋体" w:hAnsi="宋体" w:cs="宋体"/>
                      <w:sz w:val="24"/>
                      <w:szCs w:val="24"/>
                    </w:rPr>
                  </w:pPr>
                  <w:r>
                    <w:rPr>
                      <w:rFonts w:hint="default" w:ascii="宋体" w:hAnsi="宋体" w:cs="宋体"/>
                      <w:sz w:val="24"/>
                      <w:szCs w:val="24"/>
                    </w:rPr>
                    <w:t>下游：</w:t>
                  </w:r>
                  <w:r>
                    <w:rPr>
                      <w:rFonts w:hint="default" w:ascii="宋体" w:hAnsi="宋体" w:cs="宋体"/>
                      <w:color w:val="000000"/>
                      <w:kern w:val="0"/>
                      <w:sz w:val="24"/>
                      <w:szCs w:val="24"/>
                      <w:lang w:bidi="ar-AE"/>
                    </w:rPr>
                    <w:t>园区能源管理系统市场</w:t>
                  </w:r>
                </w:p>
              </w:tc>
              <w:tc>
                <w:tcPr>
                  <w:tcW w:w="1348" w:type="pct"/>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kinsoku/>
                    <w:wordWrap/>
                    <w:overflowPunct/>
                    <w:topLinePunct w:val="0"/>
                    <w:autoSpaceDE/>
                    <w:autoSpaceDN/>
                    <w:bidi w:val="0"/>
                    <w:spacing w:line="320" w:lineRule="exact"/>
                    <w:jc w:val="left"/>
                    <w:textAlignment w:val="auto"/>
                    <w:rPr>
                      <w:rFonts w:hint="default" w:ascii="宋体" w:hAnsi="宋体" w:eastAsia="宋体" w:cs="宋体"/>
                      <w:sz w:val="24"/>
                      <w:szCs w:val="24"/>
                      <w:lang w:val="en-US" w:eastAsia="zh-CN"/>
                    </w:rPr>
                  </w:pPr>
                  <w:r>
                    <w:rPr>
                      <w:rFonts w:hint="default" w:ascii="宋体" w:hAnsi="宋体" w:cs="宋体"/>
                      <w:sz w:val="24"/>
                      <w:szCs w:val="24"/>
                    </w:rPr>
                    <w:t>上游：</w:t>
                  </w:r>
                  <w:r>
                    <w:rPr>
                      <w:rFonts w:hint="eastAsia" w:ascii="宋体" w:hAnsi="宋体" w:cs="宋体"/>
                      <w:sz w:val="24"/>
                      <w:szCs w:val="24"/>
                      <w:lang w:val="en-US" w:eastAsia="zh-CN"/>
                    </w:rPr>
                    <w:t>中国境内</w:t>
                  </w:r>
                </w:p>
                <w:p>
                  <w:pPr>
                    <w:keepNext w:val="0"/>
                    <w:keepLines w:val="0"/>
                    <w:pageBreakBefore w:val="0"/>
                    <w:kinsoku/>
                    <w:wordWrap/>
                    <w:overflowPunct/>
                    <w:topLinePunct w:val="0"/>
                    <w:autoSpaceDE/>
                    <w:autoSpaceDN/>
                    <w:bidi w:val="0"/>
                    <w:spacing w:line="320" w:lineRule="exact"/>
                    <w:jc w:val="left"/>
                    <w:textAlignment w:val="auto"/>
                    <w:rPr>
                      <w:rFonts w:hint="default" w:ascii="宋体" w:hAnsi="宋体" w:cs="宋体"/>
                      <w:sz w:val="24"/>
                      <w:szCs w:val="24"/>
                    </w:rPr>
                  </w:pPr>
                  <w:r>
                    <w:rPr>
                      <w:rFonts w:hint="default" w:ascii="宋体" w:hAnsi="宋体" w:cs="宋体"/>
                      <w:sz w:val="24"/>
                      <w:szCs w:val="24"/>
                    </w:rPr>
                    <w:t>下游：</w:t>
                  </w:r>
                  <w:r>
                    <w:rPr>
                      <w:rFonts w:hint="eastAsia" w:ascii="宋体" w:hAnsi="宋体" w:cs="宋体"/>
                      <w:sz w:val="24"/>
                      <w:szCs w:val="24"/>
                      <w:lang w:val="en-US" w:eastAsia="zh-CN"/>
                    </w:rPr>
                    <w:t>中国境内</w:t>
                  </w:r>
                </w:p>
              </w:tc>
              <w:tc>
                <w:tcPr>
                  <w:tcW w:w="1983" w:type="pct"/>
                  <w:tcBorders>
                    <w:top w:val="single" w:color="auto" w:sz="4" w:space="0"/>
                    <w:left w:val="single" w:color="auto" w:sz="4" w:space="0"/>
                    <w:bottom w:val="single" w:color="auto" w:sz="4" w:space="0"/>
                    <w:right w:val="single" w:color="auto" w:sz="4" w:space="0"/>
                    <w:tl2br w:val="nil"/>
                    <w:tr2bl w:val="nil"/>
                  </w:tcBorders>
                  <w:noWrap w:val="0"/>
                  <w:vAlign w:val="center"/>
                </w:tcPr>
                <w:p>
                  <w:pPr>
                    <w:pStyle w:val="7"/>
                    <w:keepNext w:val="0"/>
                    <w:keepLines w:val="0"/>
                    <w:pageBreakBefore w:val="0"/>
                    <w:widowControl/>
                    <w:kinsoku/>
                    <w:wordWrap/>
                    <w:overflowPunct/>
                    <w:topLinePunct w:val="0"/>
                    <w:autoSpaceDE/>
                    <w:autoSpaceDN/>
                    <w:bidi w:val="0"/>
                    <w:adjustRightInd w:val="0"/>
                    <w:snapToGrid w:val="0"/>
                    <w:spacing w:after="0" w:line="320" w:lineRule="exact"/>
                    <w:jc w:val="left"/>
                    <w:textAlignment w:val="auto"/>
                    <w:rPr>
                      <w:rFonts w:hint="default" w:ascii="宋体" w:hAnsi="宋体" w:cs="宋体"/>
                      <w:color w:val="000000"/>
                      <w:kern w:val="0"/>
                      <w:sz w:val="24"/>
                      <w:szCs w:val="24"/>
                      <w:lang w:bidi="ar-AE"/>
                    </w:rPr>
                  </w:pPr>
                  <w:r>
                    <w:rPr>
                      <w:rFonts w:hint="default" w:ascii="宋体" w:hAnsi="宋体" w:cs="宋体"/>
                      <w:sz w:val="24"/>
                      <w:szCs w:val="24"/>
                    </w:rPr>
                    <w:t>上游：</w:t>
                  </w:r>
                  <w:r>
                    <w:rPr>
                      <w:rFonts w:hint="eastAsia" w:ascii="宋体" w:hAnsi="宋体" w:cs="宋体"/>
                      <w:color w:val="000000"/>
                      <w:kern w:val="0"/>
                      <w:sz w:val="24"/>
                      <w:szCs w:val="24"/>
                      <w:lang w:val="en-US" w:eastAsia="zh-CN" w:bidi="ar-AE"/>
                    </w:rPr>
                    <w:t>朗新无锡</w:t>
                  </w:r>
                  <w:r>
                    <w:rPr>
                      <w:rFonts w:hint="default" w:ascii="宋体" w:hAnsi="宋体" w:cs="宋体"/>
                      <w:color w:val="000000"/>
                      <w:kern w:val="0"/>
                      <w:sz w:val="24"/>
                      <w:szCs w:val="24"/>
                      <w:lang w:bidi="ar-AE"/>
                    </w:rPr>
                    <w:t>：0-5%</w:t>
                  </w:r>
                </w:p>
                <w:p>
                  <w:pPr>
                    <w:pStyle w:val="7"/>
                    <w:keepNext w:val="0"/>
                    <w:keepLines w:val="0"/>
                    <w:pageBreakBefore w:val="0"/>
                    <w:widowControl/>
                    <w:kinsoku/>
                    <w:wordWrap/>
                    <w:overflowPunct/>
                    <w:topLinePunct w:val="0"/>
                    <w:autoSpaceDE/>
                    <w:autoSpaceDN/>
                    <w:bidi w:val="0"/>
                    <w:adjustRightInd w:val="0"/>
                    <w:snapToGrid w:val="0"/>
                    <w:spacing w:after="0" w:line="320" w:lineRule="exact"/>
                    <w:jc w:val="left"/>
                    <w:textAlignment w:val="auto"/>
                    <w:rPr>
                      <w:rFonts w:hint="default" w:ascii="宋体" w:hAnsi="宋体" w:cs="宋体"/>
                      <w:color w:val="000000"/>
                      <w:kern w:val="0"/>
                      <w:sz w:val="24"/>
                      <w:szCs w:val="24"/>
                      <w:lang w:bidi="ar-AE"/>
                    </w:rPr>
                  </w:pPr>
                  <w:r>
                    <w:rPr>
                      <w:rFonts w:hint="default" w:ascii="宋体" w:hAnsi="宋体" w:cs="宋体"/>
                      <w:sz w:val="24"/>
                      <w:szCs w:val="24"/>
                    </w:rPr>
                    <w:t>下游：</w:t>
                  </w:r>
                  <w:r>
                    <w:rPr>
                      <w:rFonts w:hint="eastAsia" w:ascii="宋体" w:hAnsi="宋体" w:cs="宋体"/>
                      <w:color w:val="000000"/>
                      <w:kern w:val="0"/>
                      <w:sz w:val="24"/>
                      <w:szCs w:val="24"/>
                      <w:lang w:val="en-US" w:eastAsia="zh-CN" w:bidi="ar-AE"/>
                    </w:rPr>
                    <w:t>如上所述</w:t>
                  </w:r>
                </w:p>
              </w:tc>
            </w:tr>
          </w:tbl>
          <w:p>
            <w:pPr>
              <w:rPr>
                <w:sz w:val="24"/>
                <w:szCs w:val="32"/>
              </w:rPr>
            </w:pPr>
          </w:p>
        </w:tc>
      </w:tr>
    </w:tbl>
    <w:p>
      <w:pPr>
        <w:adjustRightInd w:val="0"/>
        <w:snapToGrid w:val="0"/>
        <w:rPr>
          <w:rFonts w:hint="default" w:ascii="Times New Roman" w:hAnsi="Times New Roman" w:cs="Times New Roman" w:eastAsiaTheme="minorEastAsia"/>
        </w:rPr>
      </w:pPr>
    </w:p>
    <w:sectPr>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script"/>
    <w:pitch w:val="default"/>
    <w:sig w:usb0="A00002BF" w:usb1="184F6CFA" w:usb2="00000012" w:usb3="00000000" w:csb0="00040001" w:csb1="00000000"/>
  </w:font>
  <w:font w:name="Simplified Arabic">
    <w:altName w:val="Arial"/>
    <w:panose1 w:val="02020603050405020304"/>
    <w:charset w:val="B2"/>
    <w:family w:val="roman"/>
    <w:pitch w:val="default"/>
    <w:sig w:usb0="00000000" w:usb1="00000000" w:usb2="00000000" w:usb3="00000000" w:csb0="00000041" w:csb1="2008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false"/>
  <w:bordersDoNotSurroundFooter w:val="fals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k1Nzg2Yzk0OTU3YjY2MGZjZDE3YjZmMzRiYmI2NzMifQ=="/>
  </w:docVars>
  <w:rsids>
    <w:rsidRoot w:val="511505E7"/>
    <w:rsid w:val="00042BDD"/>
    <w:rsid w:val="00064FE8"/>
    <w:rsid w:val="0007692D"/>
    <w:rsid w:val="00087338"/>
    <w:rsid w:val="00114814"/>
    <w:rsid w:val="001B50F2"/>
    <w:rsid w:val="001C6148"/>
    <w:rsid w:val="001F1C3C"/>
    <w:rsid w:val="0022179C"/>
    <w:rsid w:val="00221FCA"/>
    <w:rsid w:val="00244DF9"/>
    <w:rsid w:val="00284710"/>
    <w:rsid w:val="00332EAC"/>
    <w:rsid w:val="00346B84"/>
    <w:rsid w:val="00367A54"/>
    <w:rsid w:val="004C4C54"/>
    <w:rsid w:val="00500F51"/>
    <w:rsid w:val="00504BEC"/>
    <w:rsid w:val="00507863"/>
    <w:rsid w:val="005C4EFC"/>
    <w:rsid w:val="0062408E"/>
    <w:rsid w:val="00627CE6"/>
    <w:rsid w:val="00646E32"/>
    <w:rsid w:val="006A20C6"/>
    <w:rsid w:val="006C3B44"/>
    <w:rsid w:val="00707821"/>
    <w:rsid w:val="0072474D"/>
    <w:rsid w:val="00734F51"/>
    <w:rsid w:val="007D63FA"/>
    <w:rsid w:val="007F706B"/>
    <w:rsid w:val="00816711"/>
    <w:rsid w:val="00826195"/>
    <w:rsid w:val="008472A3"/>
    <w:rsid w:val="00876497"/>
    <w:rsid w:val="009040AD"/>
    <w:rsid w:val="00934D60"/>
    <w:rsid w:val="00A73286"/>
    <w:rsid w:val="00B45330"/>
    <w:rsid w:val="00B93533"/>
    <w:rsid w:val="00BC4863"/>
    <w:rsid w:val="00BD3FB4"/>
    <w:rsid w:val="00BE051D"/>
    <w:rsid w:val="00C046B3"/>
    <w:rsid w:val="00D11F6E"/>
    <w:rsid w:val="00D14CED"/>
    <w:rsid w:val="00E40607"/>
    <w:rsid w:val="00E4263C"/>
    <w:rsid w:val="00E466FD"/>
    <w:rsid w:val="00E80370"/>
    <w:rsid w:val="00F63099"/>
    <w:rsid w:val="00F7053E"/>
    <w:rsid w:val="00F90810"/>
    <w:rsid w:val="00FD5EA5"/>
    <w:rsid w:val="00FF42DD"/>
    <w:rsid w:val="01087875"/>
    <w:rsid w:val="011DF4EB"/>
    <w:rsid w:val="018D00A7"/>
    <w:rsid w:val="01AF5332"/>
    <w:rsid w:val="01B165CE"/>
    <w:rsid w:val="020779C8"/>
    <w:rsid w:val="0217304F"/>
    <w:rsid w:val="02515359"/>
    <w:rsid w:val="02E16CA8"/>
    <w:rsid w:val="02F70103"/>
    <w:rsid w:val="030806B1"/>
    <w:rsid w:val="033020DE"/>
    <w:rsid w:val="03490091"/>
    <w:rsid w:val="03D70EC9"/>
    <w:rsid w:val="04B425C4"/>
    <w:rsid w:val="04B85AFF"/>
    <w:rsid w:val="05AB50DB"/>
    <w:rsid w:val="05F300B6"/>
    <w:rsid w:val="06075F29"/>
    <w:rsid w:val="072729B8"/>
    <w:rsid w:val="073562D9"/>
    <w:rsid w:val="07D6476B"/>
    <w:rsid w:val="087232C3"/>
    <w:rsid w:val="08D6542E"/>
    <w:rsid w:val="08ED34FD"/>
    <w:rsid w:val="093446A7"/>
    <w:rsid w:val="09E21081"/>
    <w:rsid w:val="0AF22185"/>
    <w:rsid w:val="0B1835C3"/>
    <w:rsid w:val="0B63273E"/>
    <w:rsid w:val="0BD91CE7"/>
    <w:rsid w:val="0C554F7A"/>
    <w:rsid w:val="0C6B60D7"/>
    <w:rsid w:val="0C7927C4"/>
    <w:rsid w:val="0D1F1C05"/>
    <w:rsid w:val="0DE526A7"/>
    <w:rsid w:val="0E5C7E9D"/>
    <w:rsid w:val="0EEC791B"/>
    <w:rsid w:val="0F272A69"/>
    <w:rsid w:val="0F2B249C"/>
    <w:rsid w:val="0F953DB9"/>
    <w:rsid w:val="0FA436B7"/>
    <w:rsid w:val="0FBBC6D8"/>
    <w:rsid w:val="0FCA58AB"/>
    <w:rsid w:val="10286214"/>
    <w:rsid w:val="10C02711"/>
    <w:rsid w:val="11823EC9"/>
    <w:rsid w:val="11D03D09"/>
    <w:rsid w:val="11FC1ECD"/>
    <w:rsid w:val="12ED74AA"/>
    <w:rsid w:val="130B6D76"/>
    <w:rsid w:val="131E7C21"/>
    <w:rsid w:val="13236AF1"/>
    <w:rsid w:val="13D6674E"/>
    <w:rsid w:val="147D797B"/>
    <w:rsid w:val="148B0637"/>
    <w:rsid w:val="150C1E94"/>
    <w:rsid w:val="15D94F21"/>
    <w:rsid w:val="15E47716"/>
    <w:rsid w:val="164E6A70"/>
    <w:rsid w:val="1677F6FD"/>
    <w:rsid w:val="1680064E"/>
    <w:rsid w:val="170576D4"/>
    <w:rsid w:val="17436509"/>
    <w:rsid w:val="182A3BC2"/>
    <w:rsid w:val="18E735ED"/>
    <w:rsid w:val="19533EE7"/>
    <w:rsid w:val="199476C8"/>
    <w:rsid w:val="1A933EF5"/>
    <w:rsid w:val="1A9B628C"/>
    <w:rsid w:val="1AA11230"/>
    <w:rsid w:val="1AEB0D31"/>
    <w:rsid w:val="1B2D6269"/>
    <w:rsid w:val="1B785580"/>
    <w:rsid w:val="1BB750B7"/>
    <w:rsid w:val="1BEF65FF"/>
    <w:rsid w:val="1BF9394B"/>
    <w:rsid w:val="1BF9AB71"/>
    <w:rsid w:val="1C1B3B19"/>
    <w:rsid w:val="1C361957"/>
    <w:rsid w:val="1CC31397"/>
    <w:rsid w:val="1D8B4DA1"/>
    <w:rsid w:val="1DA24124"/>
    <w:rsid w:val="1DFE30C6"/>
    <w:rsid w:val="1EF71A09"/>
    <w:rsid w:val="1F2073B8"/>
    <w:rsid w:val="1FC81833"/>
    <w:rsid w:val="1FDD338C"/>
    <w:rsid w:val="1FE72BC6"/>
    <w:rsid w:val="202D7F78"/>
    <w:rsid w:val="20341A99"/>
    <w:rsid w:val="20815B54"/>
    <w:rsid w:val="20855A40"/>
    <w:rsid w:val="20C2797E"/>
    <w:rsid w:val="20F82768"/>
    <w:rsid w:val="21472A39"/>
    <w:rsid w:val="215B059A"/>
    <w:rsid w:val="21BD7D11"/>
    <w:rsid w:val="22151D28"/>
    <w:rsid w:val="244D0366"/>
    <w:rsid w:val="24606B41"/>
    <w:rsid w:val="246456B0"/>
    <w:rsid w:val="246736EB"/>
    <w:rsid w:val="24840815"/>
    <w:rsid w:val="24BE4747"/>
    <w:rsid w:val="2504136D"/>
    <w:rsid w:val="25C17900"/>
    <w:rsid w:val="261144B9"/>
    <w:rsid w:val="26627377"/>
    <w:rsid w:val="27B435B3"/>
    <w:rsid w:val="27BA6965"/>
    <w:rsid w:val="27ED6C10"/>
    <w:rsid w:val="281C288D"/>
    <w:rsid w:val="283265FA"/>
    <w:rsid w:val="28361ADD"/>
    <w:rsid w:val="289A6D28"/>
    <w:rsid w:val="28A2389D"/>
    <w:rsid w:val="2A0C211C"/>
    <w:rsid w:val="2A60184B"/>
    <w:rsid w:val="2AA41F53"/>
    <w:rsid w:val="2B795B9C"/>
    <w:rsid w:val="2C0C7CCC"/>
    <w:rsid w:val="2CAC25FF"/>
    <w:rsid w:val="2D0217A7"/>
    <w:rsid w:val="2D123945"/>
    <w:rsid w:val="2D522E91"/>
    <w:rsid w:val="2DE926AB"/>
    <w:rsid w:val="2DFF8C0F"/>
    <w:rsid w:val="2ECF569F"/>
    <w:rsid w:val="2F0902B7"/>
    <w:rsid w:val="2FD63906"/>
    <w:rsid w:val="3025112D"/>
    <w:rsid w:val="30637C21"/>
    <w:rsid w:val="306F1D95"/>
    <w:rsid w:val="31687D65"/>
    <w:rsid w:val="319E78FD"/>
    <w:rsid w:val="31AC3510"/>
    <w:rsid w:val="33291F9F"/>
    <w:rsid w:val="332B297E"/>
    <w:rsid w:val="339B1A7D"/>
    <w:rsid w:val="33E34AE7"/>
    <w:rsid w:val="341C1B03"/>
    <w:rsid w:val="34390907"/>
    <w:rsid w:val="34527864"/>
    <w:rsid w:val="356065C1"/>
    <w:rsid w:val="35741F7B"/>
    <w:rsid w:val="35927D49"/>
    <w:rsid w:val="35AA4056"/>
    <w:rsid w:val="36647739"/>
    <w:rsid w:val="36722108"/>
    <w:rsid w:val="36A67819"/>
    <w:rsid w:val="37736187"/>
    <w:rsid w:val="37EC4B4C"/>
    <w:rsid w:val="38EF19B1"/>
    <w:rsid w:val="3A7D25F4"/>
    <w:rsid w:val="3AE3337B"/>
    <w:rsid w:val="3B6C128B"/>
    <w:rsid w:val="3BF42FA2"/>
    <w:rsid w:val="3C1B3849"/>
    <w:rsid w:val="3C982B28"/>
    <w:rsid w:val="3D015043"/>
    <w:rsid w:val="3DBE0E38"/>
    <w:rsid w:val="3DCF2C73"/>
    <w:rsid w:val="3E3B322A"/>
    <w:rsid w:val="3E671EB3"/>
    <w:rsid w:val="3EB7365E"/>
    <w:rsid w:val="3EBE2D3F"/>
    <w:rsid w:val="3ED7D01C"/>
    <w:rsid w:val="3EE73D98"/>
    <w:rsid w:val="3FFFF7A9"/>
    <w:rsid w:val="40454BCA"/>
    <w:rsid w:val="40D7777E"/>
    <w:rsid w:val="40E3190E"/>
    <w:rsid w:val="4129118D"/>
    <w:rsid w:val="41D779C0"/>
    <w:rsid w:val="436E421B"/>
    <w:rsid w:val="43D81ACB"/>
    <w:rsid w:val="43E353FE"/>
    <w:rsid w:val="443B7D84"/>
    <w:rsid w:val="45A801C9"/>
    <w:rsid w:val="45E92E66"/>
    <w:rsid w:val="463C27E0"/>
    <w:rsid w:val="46845245"/>
    <w:rsid w:val="46F216C3"/>
    <w:rsid w:val="48247180"/>
    <w:rsid w:val="483F1DAE"/>
    <w:rsid w:val="48567BBA"/>
    <w:rsid w:val="48604985"/>
    <w:rsid w:val="48C332AF"/>
    <w:rsid w:val="48FE2C64"/>
    <w:rsid w:val="49857111"/>
    <w:rsid w:val="498A72A0"/>
    <w:rsid w:val="4A280DAA"/>
    <w:rsid w:val="4B44740D"/>
    <w:rsid w:val="4C824703"/>
    <w:rsid w:val="4CC01CF8"/>
    <w:rsid w:val="4CFD75DE"/>
    <w:rsid w:val="4D022B50"/>
    <w:rsid w:val="4D533669"/>
    <w:rsid w:val="4D611881"/>
    <w:rsid w:val="4DB67BAD"/>
    <w:rsid w:val="4DBF710D"/>
    <w:rsid w:val="4DF57EFD"/>
    <w:rsid w:val="4E037B64"/>
    <w:rsid w:val="4E585190"/>
    <w:rsid w:val="4E626EA5"/>
    <w:rsid w:val="4F302BDB"/>
    <w:rsid w:val="4F7D0643"/>
    <w:rsid w:val="505C355C"/>
    <w:rsid w:val="50CB3BDA"/>
    <w:rsid w:val="510900F1"/>
    <w:rsid w:val="511505E7"/>
    <w:rsid w:val="522432EB"/>
    <w:rsid w:val="5275657D"/>
    <w:rsid w:val="535B1AD6"/>
    <w:rsid w:val="53701092"/>
    <w:rsid w:val="53DE53F7"/>
    <w:rsid w:val="549363D0"/>
    <w:rsid w:val="54A03EDC"/>
    <w:rsid w:val="54D26C3D"/>
    <w:rsid w:val="54DD7AC9"/>
    <w:rsid w:val="55413F6A"/>
    <w:rsid w:val="556C3BF9"/>
    <w:rsid w:val="558A3AEC"/>
    <w:rsid w:val="55C827EC"/>
    <w:rsid w:val="55FF4F39"/>
    <w:rsid w:val="563C0C84"/>
    <w:rsid w:val="567C47AD"/>
    <w:rsid w:val="568C7EFA"/>
    <w:rsid w:val="5721053D"/>
    <w:rsid w:val="587873A1"/>
    <w:rsid w:val="59206465"/>
    <w:rsid w:val="59927FEE"/>
    <w:rsid w:val="599B7F54"/>
    <w:rsid w:val="59D80FE8"/>
    <w:rsid w:val="5A320350"/>
    <w:rsid w:val="5A4E1134"/>
    <w:rsid w:val="5A8F5421"/>
    <w:rsid w:val="5AAB1367"/>
    <w:rsid w:val="5AB377AC"/>
    <w:rsid w:val="5ADB7A9F"/>
    <w:rsid w:val="5B9E2C7A"/>
    <w:rsid w:val="5BDF7AA8"/>
    <w:rsid w:val="5C0C052C"/>
    <w:rsid w:val="5C1B2572"/>
    <w:rsid w:val="5CAA1730"/>
    <w:rsid w:val="5CC770F3"/>
    <w:rsid w:val="5CCB4CA9"/>
    <w:rsid w:val="5D633CB1"/>
    <w:rsid w:val="5DE93B9C"/>
    <w:rsid w:val="5DFF5221"/>
    <w:rsid w:val="5E2F0501"/>
    <w:rsid w:val="5E606197"/>
    <w:rsid w:val="5E758AD3"/>
    <w:rsid w:val="5E872C42"/>
    <w:rsid w:val="5EB54DAB"/>
    <w:rsid w:val="5EFFEB53"/>
    <w:rsid w:val="5F3A59C0"/>
    <w:rsid w:val="5F3C2655"/>
    <w:rsid w:val="5F4C72AD"/>
    <w:rsid w:val="5F5B3889"/>
    <w:rsid w:val="5F7404E1"/>
    <w:rsid w:val="60600E46"/>
    <w:rsid w:val="60B85CFA"/>
    <w:rsid w:val="61A27DB8"/>
    <w:rsid w:val="61AC7C2D"/>
    <w:rsid w:val="61F32521"/>
    <w:rsid w:val="62A95BE3"/>
    <w:rsid w:val="62FE2ACC"/>
    <w:rsid w:val="63CE0698"/>
    <w:rsid w:val="63F6661D"/>
    <w:rsid w:val="64990483"/>
    <w:rsid w:val="64F94FB6"/>
    <w:rsid w:val="64FF0119"/>
    <w:rsid w:val="650C61D5"/>
    <w:rsid w:val="65183212"/>
    <w:rsid w:val="654F569B"/>
    <w:rsid w:val="65AC0421"/>
    <w:rsid w:val="65C94540"/>
    <w:rsid w:val="662674F5"/>
    <w:rsid w:val="67090219"/>
    <w:rsid w:val="67532E54"/>
    <w:rsid w:val="6754015D"/>
    <w:rsid w:val="676B6497"/>
    <w:rsid w:val="677B0DDC"/>
    <w:rsid w:val="67885F66"/>
    <w:rsid w:val="67D469E8"/>
    <w:rsid w:val="67DB7BB9"/>
    <w:rsid w:val="68051D5E"/>
    <w:rsid w:val="685D233B"/>
    <w:rsid w:val="68E175B6"/>
    <w:rsid w:val="68ED6FEF"/>
    <w:rsid w:val="69140A20"/>
    <w:rsid w:val="69C0748D"/>
    <w:rsid w:val="6A7D30C3"/>
    <w:rsid w:val="6ABB6FCD"/>
    <w:rsid w:val="6AD438DD"/>
    <w:rsid w:val="6B9261CD"/>
    <w:rsid w:val="6B9A71CB"/>
    <w:rsid w:val="6BCB1BF4"/>
    <w:rsid w:val="6BCC0CB3"/>
    <w:rsid w:val="6C194630"/>
    <w:rsid w:val="6C45316D"/>
    <w:rsid w:val="6CA65B6F"/>
    <w:rsid w:val="6CBE075E"/>
    <w:rsid w:val="6CBF87B4"/>
    <w:rsid w:val="6DA26ADD"/>
    <w:rsid w:val="6DC30C82"/>
    <w:rsid w:val="6DEFBAE0"/>
    <w:rsid w:val="6E372E5F"/>
    <w:rsid w:val="6E3FE820"/>
    <w:rsid w:val="6E786ABC"/>
    <w:rsid w:val="6E954194"/>
    <w:rsid w:val="6EBE3907"/>
    <w:rsid w:val="6F538C10"/>
    <w:rsid w:val="6FDF5799"/>
    <w:rsid w:val="6FE85134"/>
    <w:rsid w:val="706C5090"/>
    <w:rsid w:val="710A7485"/>
    <w:rsid w:val="71394751"/>
    <w:rsid w:val="71402523"/>
    <w:rsid w:val="718030F6"/>
    <w:rsid w:val="72131803"/>
    <w:rsid w:val="723024E6"/>
    <w:rsid w:val="73026B48"/>
    <w:rsid w:val="73A56E44"/>
    <w:rsid w:val="74566BED"/>
    <w:rsid w:val="747A406B"/>
    <w:rsid w:val="74CE550B"/>
    <w:rsid w:val="74E476E3"/>
    <w:rsid w:val="74FA9F2D"/>
    <w:rsid w:val="751B0A84"/>
    <w:rsid w:val="755F49C7"/>
    <w:rsid w:val="757D0B6E"/>
    <w:rsid w:val="759674AE"/>
    <w:rsid w:val="75A34AC0"/>
    <w:rsid w:val="75D25D15"/>
    <w:rsid w:val="767FE0B3"/>
    <w:rsid w:val="76AFBFF1"/>
    <w:rsid w:val="76CA40F3"/>
    <w:rsid w:val="76D52DCD"/>
    <w:rsid w:val="77527FDF"/>
    <w:rsid w:val="777D1E86"/>
    <w:rsid w:val="77960090"/>
    <w:rsid w:val="77AFF4F6"/>
    <w:rsid w:val="77FF6A8C"/>
    <w:rsid w:val="77FFCFC3"/>
    <w:rsid w:val="78410251"/>
    <w:rsid w:val="789D5404"/>
    <w:rsid w:val="78E44EC4"/>
    <w:rsid w:val="793FB7A1"/>
    <w:rsid w:val="7A66B182"/>
    <w:rsid w:val="7A9C06E1"/>
    <w:rsid w:val="7AB91678"/>
    <w:rsid w:val="7B8F578C"/>
    <w:rsid w:val="7B9A66EF"/>
    <w:rsid w:val="7BAB6FC2"/>
    <w:rsid w:val="7BE411F0"/>
    <w:rsid w:val="7BFFD823"/>
    <w:rsid w:val="7C235B45"/>
    <w:rsid w:val="7C7918BC"/>
    <w:rsid w:val="7CCB66D7"/>
    <w:rsid w:val="7D6F58DB"/>
    <w:rsid w:val="7DCE664D"/>
    <w:rsid w:val="7EE72273"/>
    <w:rsid w:val="7EF16FA7"/>
    <w:rsid w:val="7EF7CDD2"/>
    <w:rsid w:val="7F23145A"/>
    <w:rsid w:val="7F7BEB9D"/>
    <w:rsid w:val="7FBF2495"/>
    <w:rsid w:val="7FDCAB43"/>
    <w:rsid w:val="7FE15510"/>
    <w:rsid w:val="7FE91E78"/>
    <w:rsid w:val="7FF500C7"/>
    <w:rsid w:val="7FFDE69B"/>
    <w:rsid w:val="9CBD0B1A"/>
    <w:rsid w:val="A7F9C1DE"/>
    <w:rsid w:val="A9AD231D"/>
    <w:rsid w:val="ADFAC79E"/>
    <w:rsid w:val="AE7E1E17"/>
    <w:rsid w:val="B593FB7D"/>
    <w:rsid w:val="B9B92832"/>
    <w:rsid w:val="BCB7048F"/>
    <w:rsid w:val="BCF89F06"/>
    <w:rsid w:val="BEAF73DD"/>
    <w:rsid w:val="BF8E36EE"/>
    <w:rsid w:val="BFDFB85E"/>
    <w:rsid w:val="BFF739EC"/>
    <w:rsid w:val="C3F5BA26"/>
    <w:rsid w:val="D5DB8D8A"/>
    <w:rsid w:val="DDEFBA43"/>
    <w:rsid w:val="DEAFB90F"/>
    <w:rsid w:val="DF21B821"/>
    <w:rsid w:val="DFD76A11"/>
    <w:rsid w:val="E7FFE685"/>
    <w:rsid w:val="E9F71F09"/>
    <w:rsid w:val="EAFD8D58"/>
    <w:rsid w:val="EB6C770B"/>
    <w:rsid w:val="EBCD181E"/>
    <w:rsid w:val="EFFFDD70"/>
    <w:rsid w:val="F1B778F1"/>
    <w:rsid w:val="F3ED4243"/>
    <w:rsid w:val="F3FF743F"/>
    <w:rsid w:val="F4FF55F7"/>
    <w:rsid w:val="F7EFF966"/>
    <w:rsid w:val="F7FD911C"/>
    <w:rsid w:val="F9DF2CA6"/>
    <w:rsid w:val="FB3326CC"/>
    <w:rsid w:val="FBCE4D19"/>
    <w:rsid w:val="FBFE1D07"/>
    <w:rsid w:val="FDBF10AA"/>
    <w:rsid w:val="FE5FA0A2"/>
    <w:rsid w:val="FEAEC70B"/>
    <w:rsid w:val="FF57FBD6"/>
    <w:rsid w:val="FFB70466"/>
    <w:rsid w:val="FFBC3961"/>
    <w:rsid w:val="FFCF003E"/>
    <w:rsid w:val="FFEE6CF6"/>
    <w:rsid w:val="FFFCA7DD"/>
    <w:rsid w:val="FFFF3A53"/>
    <w:rsid w:val="FFFF91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3"/>
    <w:next w:val="1"/>
    <w:qFormat/>
    <w:uiPriority w:val="9"/>
    <w:pPr>
      <w:spacing w:after="156" w:afterLines="50" w:line="640" w:lineRule="exact"/>
      <w:outlineLvl w:val="0"/>
    </w:pPr>
    <w:rPr>
      <w:rFonts w:ascii="方正小标宋简体" w:eastAsia="方正小标宋简体"/>
      <w:sz w:val="44"/>
      <w:szCs w:val="36"/>
    </w:rPr>
  </w:style>
  <w:style w:type="character" w:default="1" w:styleId="14">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customStyle="1" w:styleId="3">
    <w:name w:val="名称2"/>
    <w:basedOn w:val="4"/>
    <w:qFormat/>
    <w:uiPriority w:val="0"/>
    <w:pPr>
      <w:spacing w:after="312" w:afterLines="100"/>
    </w:pPr>
    <w:rPr>
      <w:b w:val="0"/>
      <w:sz w:val="20"/>
    </w:rPr>
  </w:style>
  <w:style w:type="paragraph" w:customStyle="1" w:styleId="4">
    <w:name w:val="名称"/>
    <w:basedOn w:val="1"/>
    <w:qFormat/>
    <w:uiPriority w:val="0"/>
    <w:pPr>
      <w:jc w:val="center"/>
    </w:pPr>
    <w:rPr>
      <w:b/>
      <w:kern w:val="0"/>
      <w:sz w:val="44"/>
      <w:szCs w:val="20"/>
    </w:rPr>
  </w:style>
  <w:style w:type="paragraph" w:styleId="5">
    <w:name w:val="Normal Indent"/>
    <w:basedOn w:val="1"/>
    <w:next w:val="1"/>
    <w:qFormat/>
    <w:uiPriority w:val="99"/>
  </w:style>
  <w:style w:type="paragraph" w:styleId="6">
    <w:name w:val="annotation text"/>
    <w:basedOn w:val="1"/>
    <w:qFormat/>
    <w:uiPriority w:val="0"/>
    <w:pPr>
      <w:jc w:val="left"/>
    </w:pPr>
  </w:style>
  <w:style w:type="paragraph" w:styleId="7">
    <w:name w:val="Body Text"/>
    <w:basedOn w:val="1"/>
    <w:link w:val="18"/>
    <w:unhideWhenUsed/>
    <w:qFormat/>
    <w:uiPriority w:val="99"/>
    <w:pPr>
      <w:spacing w:after="120"/>
    </w:pPr>
  </w:style>
  <w:style w:type="paragraph" w:styleId="8">
    <w:name w:val="footer"/>
    <w:basedOn w:val="1"/>
    <w:link w:val="17"/>
    <w:qFormat/>
    <w:uiPriority w:val="0"/>
    <w:pPr>
      <w:tabs>
        <w:tab w:val="center" w:pos="4153"/>
        <w:tab w:val="right" w:pos="8306"/>
      </w:tabs>
      <w:snapToGrid w:val="0"/>
      <w:jc w:val="left"/>
    </w:pPr>
    <w:rPr>
      <w:sz w:val="18"/>
      <w:szCs w:val="18"/>
    </w:rPr>
  </w:style>
  <w:style w:type="paragraph" w:styleId="9">
    <w:name w:val="header"/>
    <w:basedOn w:val="1"/>
    <w:link w:val="16"/>
    <w:qFormat/>
    <w:uiPriority w:val="0"/>
    <w:pPr>
      <w:pBdr>
        <w:bottom w:val="single" w:color="auto" w:sz="6" w:space="1"/>
      </w:pBdr>
      <w:tabs>
        <w:tab w:val="center" w:pos="4153"/>
        <w:tab w:val="right" w:pos="8306"/>
      </w:tabs>
      <w:snapToGrid w:val="0"/>
      <w:jc w:val="center"/>
    </w:pPr>
    <w:rPr>
      <w:sz w:val="18"/>
      <w:szCs w:val="18"/>
    </w:rPr>
  </w:style>
  <w:style w:type="paragraph" w:styleId="10">
    <w:name w:val="toc 2"/>
    <w:basedOn w:val="1"/>
    <w:next w:val="1"/>
    <w:qFormat/>
    <w:uiPriority w:val="0"/>
    <w:pPr>
      <w:ind w:left="420" w:leftChars="200"/>
    </w:pPr>
    <w:rPr>
      <w:rFonts w:ascii="Times New Roman" w:hAnsi="Times New Roman" w:eastAsia="宋体"/>
      <w:sz w:val="30"/>
    </w:rPr>
  </w:style>
  <w:style w:type="paragraph" w:styleId="11">
    <w:name w:val="Body Text First Indent"/>
    <w:basedOn w:val="7"/>
    <w:qFormat/>
    <w:uiPriority w:val="0"/>
    <w:pPr>
      <w:ind w:firstLine="420" w:firstLineChars="100"/>
    </w:pPr>
  </w:style>
  <w:style w:type="table" w:styleId="13">
    <w:name w:val="Table Grid"/>
    <w:basedOn w:val="12"/>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15">
    <w:name w:val="page number"/>
    <w:qFormat/>
    <w:uiPriority w:val="0"/>
    <w:rPr>
      <w:rFonts w:ascii="Times New Roman" w:hAnsi="Times New Roman" w:eastAsia="宋体" w:cs="Simplified Arabic"/>
      <w:sz w:val="24"/>
      <w:szCs w:val="24"/>
      <w:lang w:val="en-GB" w:bidi="ar-AE"/>
    </w:rPr>
  </w:style>
  <w:style w:type="character" w:customStyle="1" w:styleId="16">
    <w:name w:val="页眉 字符"/>
    <w:basedOn w:val="14"/>
    <w:link w:val="9"/>
    <w:qFormat/>
    <w:uiPriority w:val="0"/>
    <w:rPr>
      <w:rFonts w:ascii="Times New Roman" w:hAnsi="Times New Roman" w:eastAsia="宋体" w:cs="Times New Roman"/>
      <w:kern w:val="2"/>
      <w:sz w:val="18"/>
      <w:szCs w:val="18"/>
    </w:rPr>
  </w:style>
  <w:style w:type="character" w:customStyle="1" w:styleId="17">
    <w:name w:val="页脚 字符"/>
    <w:basedOn w:val="14"/>
    <w:link w:val="8"/>
    <w:qFormat/>
    <w:uiPriority w:val="0"/>
    <w:rPr>
      <w:rFonts w:ascii="Times New Roman" w:hAnsi="Times New Roman" w:eastAsia="宋体" w:cs="Times New Roman"/>
      <w:kern w:val="2"/>
      <w:sz w:val="18"/>
      <w:szCs w:val="18"/>
    </w:rPr>
  </w:style>
  <w:style w:type="character" w:customStyle="1" w:styleId="18">
    <w:name w:val="正文文本 字符"/>
    <w:basedOn w:val="14"/>
    <w:link w:val="7"/>
    <w:qFormat/>
    <w:uiPriority w:val="99"/>
    <w:rPr>
      <w:rFonts w:ascii="Times New Roman" w:hAnsi="Times New Roman" w:eastAsia="宋体" w:cs="Times New Roman"/>
      <w:kern w:val="2"/>
      <w:sz w:val="21"/>
      <w:szCs w:val="24"/>
    </w:rPr>
  </w:style>
  <w:style w:type="paragraph" w:styleId="19">
    <w:name w:val="List Paragraph"/>
    <w:basedOn w:val="1"/>
    <w:qFormat/>
    <w:uiPriority w:val="99"/>
    <w:pPr>
      <w:ind w:firstLine="420" w:firstLineChars="200"/>
    </w:pPr>
  </w:style>
  <w:style w:type="paragraph" w:customStyle="1" w:styleId="20">
    <w:name w:val="Footer Right"/>
    <w:basedOn w:val="8"/>
    <w:qFormat/>
    <w:uiPriority w:val="0"/>
    <w:pPr>
      <w:jc w:val="right"/>
    </w:pPr>
  </w:style>
  <w:style w:type="paragraph" w:customStyle="1" w:styleId="21">
    <w:name w:val="KWMCN-标准"/>
    <w:qFormat/>
    <w:uiPriority w:val="0"/>
    <w:pPr>
      <w:adjustRightInd w:val="0"/>
      <w:snapToGrid w:val="0"/>
      <w:spacing w:after="360" w:line="320" w:lineRule="atLeast"/>
      <w:jc w:val="both"/>
    </w:pPr>
    <w:rPr>
      <w:rFonts w:ascii="Arial" w:hAnsi="Arial" w:eastAsia="楷体_GB2312" w:cstheme="minorBidi"/>
      <w:kern w:val="2"/>
      <w:sz w:val="24"/>
      <w:szCs w:val="21"/>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其他省直机关单位</Company>
  <Pages>6</Pages>
  <Words>1858</Words>
  <Characters>2018</Characters>
  <Lines>1</Lines>
  <Paragraphs>1</Paragraphs>
  <TotalTime>6</TotalTime>
  <ScaleCrop>false</ScaleCrop>
  <LinksUpToDate>false</LinksUpToDate>
  <CharactersWithSpaces>2143</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2023-02-26T17:34:00Z</dcterms:created>
  <dc:creator>张斌（反垄断处）</dc:creator>
  <cp:lastModifiedBy>scj</cp:lastModifiedBy>
  <cp:lastPrinted>2024-08-01T01:27:00Z</cp:lastPrinted>
  <dcterms:modified xsi:type="dcterms:W3CDTF">2025-02-08T15:45:53Z</dcterms:modified>
  <dc:title>关于经营者集中反垄断审查案件</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y fmtid="{D5CDD505-2E9C-101B-9397-08002B2CF9AE}" pid="3" name="ICV">
    <vt:lpwstr>2F510BCF826C43248232D30198221AB7</vt:lpwstr>
  </property>
  <property fmtid="{D5CDD505-2E9C-101B-9397-08002B2CF9AE}" pid="4" name="KSOTemplateDocerSaveRecord">
    <vt:lpwstr>eyJoZGlkIjoiN2M3YzU5MzVkMmE1NmNhYTRkYTdmNTMxMGY2MjViMmUiLCJ1c2VySWQiOiIxMTgwOTEyNzczIn0=</vt:lpwstr>
  </property>
</Properties>
</file>