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BCBC7C">
      <w:pPr>
        <w:widowControl/>
        <w:spacing w:after="240"/>
        <w:jc w:val="center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val="en-GB" w:bidi="ar-AE"/>
        </w:rPr>
      </w:pPr>
      <w:r>
        <w:rPr>
          <w:rFonts w:hint="default" w:ascii="Times New Roman" w:hAnsi="Times New Roman" w:eastAsia="黑体" w:cs="Times New Roman"/>
          <w:bCs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val="en-GB" w:bidi="ar-AE"/>
        </w:rPr>
        <w:t>经营者集中简易案件公示表</w:t>
      </w:r>
    </w:p>
    <w:tbl>
      <w:tblPr>
        <w:tblStyle w:val="3"/>
        <w:tblW w:w="8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5390"/>
      </w:tblGrid>
      <w:tr w14:paraId="4D9A3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940" w:type="dxa"/>
            <w:shd w:val="clear" w:color="auto" w:fill="D9D9D9"/>
            <w:noWrap w:val="0"/>
            <w:vAlign w:val="center"/>
          </w:tcPr>
          <w:p w14:paraId="2E7C91B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/>
              </w:rPr>
              <w:t>案件名称</w:t>
            </w:r>
          </w:p>
        </w:tc>
        <w:tc>
          <w:tcPr>
            <w:tcW w:w="6997" w:type="dxa"/>
            <w:gridSpan w:val="2"/>
            <w:noWrap w:val="0"/>
            <w:vAlign w:val="center"/>
          </w:tcPr>
          <w:p w14:paraId="2E9BBE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</w:pPr>
            <w:bookmarkStart w:id="0" w:name="_GoBack"/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lang w:bidi="ar-AE"/>
              </w:rPr>
              <w:t>广东九丰能源集团有限公司收购广州华凯石油燃气有限公司股权案</w:t>
            </w:r>
            <w:bookmarkEnd w:id="0"/>
          </w:p>
        </w:tc>
      </w:tr>
      <w:tr w14:paraId="788E5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940" w:type="dxa"/>
            <w:shd w:val="clear" w:color="auto" w:fill="D9D9D9"/>
            <w:noWrap w:val="0"/>
            <w:vAlign w:val="center"/>
          </w:tcPr>
          <w:p w14:paraId="4802928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/>
              </w:rPr>
              <w:t>交易概况（限200字内）</w:t>
            </w:r>
          </w:p>
        </w:tc>
        <w:tc>
          <w:tcPr>
            <w:tcW w:w="6997" w:type="dxa"/>
            <w:gridSpan w:val="2"/>
            <w:noWrap w:val="0"/>
            <w:vAlign w:val="center"/>
          </w:tcPr>
          <w:p w14:paraId="24BFA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GB" w:bidi="ar-AE"/>
              </w:rPr>
              <w:t>广东九丰能源集团有限公司（“广东九丰”）与上海中油能源控股有限公司、浙江中燃华电能源有限公司签署协议，收购广州华凯石油燃气有限公司（“广州华凯”）100%的股权。交易前，中国燃气控股有限公司通过上海中油能源控股有限公司、浙江中燃华电能源有限公司间接持有广州华凯100%股权，单独控制广州华凯。交易后，广东九丰持有广州华凯100%股权，单独控制广州华凯。</w:t>
            </w:r>
          </w:p>
        </w:tc>
      </w:tr>
      <w:tr w14:paraId="660CD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940" w:type="dxa"/>
            <w:vMerge w:val="restart"/>
            <w:shd w:val="clear" w:color="auto" w:fill="D9D9D9"/>
            <w:noWrap w:val="0"/>
            <w:vAlign w:val="center"/>
          </w:tcPr>
          <w:p w14:paraId="47DE967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/>
              </w:rPr>
              <w:t>参与集中的经营者简介（每个限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100字以内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/>
              </w:rPr>
              <w:t>）</w:t>
            </w:r>
          </w:p>
        </w:tc>
        <w:tc>
          <w:tcPr>
            <w:tcW w:w="1607" w:type="dxa"/>
            <w:noWrap w:val="0"/>
            <w:vAlign w:val="center"/>
          </w:tcPr>
          <w:p w14:paraId="445CD8CA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  <w:t>1.</w:t>
            </w: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  <w:t>广东九丰</w:t>
            </w:r>
          </w:p>
        </w:tc>
        <w:tc>
          <w:tcPr>
            <w:tcW w:w="5390" w:type="dxa"/>
            <w:noWrap w:val="0"/>
            <w:vAlign w:val="center"/>
          </w:tcPr>
          <w:p w14:paraId="0C56D515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lang w:bidi="ar-AE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lang w:bidi="ar-AE"/>
              </w:rPr>
              <w:t>广东九丰于2004年8月17日成立于广东省广州市，主要业务为液化石油气以及液化天然气的采购及批发销售。</w:t>
            </w:r>
          </w:p>
          <w:p w14:paraId="61666878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lang w:bidi="ar-AE"/>
              </w:rPr>
              <w:t>广东九丰最终控制人为自然人张建国、蔡丽红，主要业务为生产、采购及销售液化天然气、液化石油气，能源辅助作业及物流服务，以及特种气体的生产、销售。</w:t>
            </w:r>
          </w:p>
        </w:tc>
      </w:tr>
      <w:tr w14:paraId="257E5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 w14:paraId="7AB4560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07" w:type="dxa"/>
            <w:noWrap w:val="0"/>
            <w:vAlign w:val="center"/>
          </w:tcPr>
          <w:p w14:paraId="6131890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  <w:t>2.</w:t>
            </w: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  <w:t>广州华凯</w:t>
            </w:r>
          </w:p>
        </w:tc>
        <w:tc>
          <w:tcPr>
            <w:tcW w:w="5390" w:type="dxa"/>
            <w:noWrap w:val="0"/>
            <w:vAlign w:val="center"/>
          </w:tcPr>
          <w:p w14:paraId="56B977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lang w:val="en-GB" w:bidi="ar-AE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lang w:val="en-GB" w:bidi="ar-AE"/>
              </w:rPr>
              <w:t>广州华凯于2002年10月31日成立于广东省广州市，主要业务为液化石油气的采购及批发销售。</w:t>
            </w:r>
          </w:p>
          <w:p w14:paraId="6F3B7A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lang w:val="en-GB" w:bidi="ar-AE"/>
              </w:rPr>
              <w:t>广州华凯最终控制人为中国燃气控股有限公司，主要业务为于中国从事投资、建设、经营城镇燃气管道基础设施、燃气码头、储运设施和燃气物流系统，以及液化石油气、液化天然气等相关业务。</w:t>
            </w:r>
          </w:p>
        </w:tc>
      </w:tr>
      <w:tr w14:paraId="158FB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940" w:type="dxa"/>
            <w:vMerge w:val="restart"/>
            <w:shd w:val="clear" w:color="auto" w:fill="D9D9D9"/>
            <w:noWrap w:val="0"/>
            <w:vAlign w:val="center"/>
          </w:tcPr>
          <w:p w14:paraId="68ED8F4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/>
              </w:rPr>
              <w:t>简易案件理由（可以单选，也可以多选）</w:t>
            </w:r>
          </w:p>
        </w:tc>
        <w:tc>
          <w:tcPr>
            <w:tcW w:w="6997" w:type="dxa"/>
            <w:gridSpan w:val="2"/>
            <w:noWrap w:val="0"/>
            <w:vAlign w:val="center"/>
          </w:tcPr>
          <w:p w14:paraId="0C45134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t xml:space="preserve"> 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t>在同一相关市场，参与集中的经营者所占的市场份额之和小于15%。</w:t>
            </w:r>
          </w:p>
        </w:tc>
      </w:tr>
      <w:tr w14:paraId="04B39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 w14:paraId="5EA98ED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97" w:type="dxa"/>
            <w:gridSpan w:val="2"/>
            <w:noWrap w:val="0"/>
            <w:vAlign w:val="center"/>
          </w:tcPr>
          <w:p w14:paraId="2469A67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sym w:font="Wingdings" w:char="00A8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t xml:space="preserve"> 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t>在上下游市场，参与集中的经营者所占的市场份额均小于25%。</w:t>
            </w:r>
          </w:p>
        </w:tc>
      </w:tr>
      <w:tr w14:paraId="767D8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 w14:paraId="050F94F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97" w:type="dxa"/>
            <w:gridSpan w:val="2"/>
            <w:noWrap w:val="0"/>
            <w:vAlign w:val="center"/>
          </w:tcPr>
          <w:p w14:paraId="4C48A30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sym w:font="Wingdings" w:char="00A8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t xml:space="preserve"> 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t>不在同一相关市场也不存在上下游关系的参与集中的经营者，在与交易有关的每个市场所占的市场份额均小于25%。</w:t>
            </w:r>
          </w:p>
        </w:tc>
      </w:tr>
      <w:tr w14:paraId="6416C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 w14:paraId="522EFAF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97" w:type="dxa"/>
            <w:gridSpan w:val="2"/>
            <w:noWrap w:val="0"/>
            <w:vAlign w:val="center"/>
          </w:tcPr>
          <w:p w14:paraId="7B41604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sym w:font="Wingdings" w:char="00A8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t xml:space="preserve"> 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t>参与集中的经营者在中国境外设立合营企业，合营企业不在中国境内从事经济活动。</w:t>
            </w:r>
          </w:p>
        </w:tc>
      </w:tr>
      <w:tr w14:paraId="08876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 w14:paraId="4914B269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97" w:type="dxa"/>
            <w:gridSpan w:val="2"/>
            <w:noWrap w:val="0"/>
            <w:vAlign w:val="center"/>
          </w:tcPr>
          <w:p w14:paraId="2D08E0F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sym w:font="Wingdings" w:char="00A8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t xml:space="preserve"> 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t>参与集中的经营者收购境外企业股权或资产的，该境外企业不在中国境内从事经济活动。</w:t>
            </w:r>
          </w:p>
        </w:tc>
      </w:tr>
      <w:tr w14:paraId="4F43A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 w14:paraId="3608FD7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97" w:type="dxa"/>
            <w:gridSpan w:val="2"/>
            <w:noWrap w:val="0"/>
            <w:vAlign w:val="center"/>
          </w:tcPr>
          <w:p w14:paraId="48500DD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sym w:font="Wingdings" w:char="00A8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t xml:space="preserve"> 6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GB" w:eastAsia="zh-CN" w:bidi="ar-AE"/>
              </w:rPr>
              <w:t>由两个以上的经营者共同控制的合营企业，通过集中被其中一个或一个以上经营者控制。</w:t>
            </w:r>
          </w:p>
        </w:tc>
      </w:tr>
      <w:tr w14:paraId="7E032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1940" w:type="dxa"/>
            <w:shd w:val="clear" w:color="auto" w:fill="D9D9D9"/>
            <w:noWrap w:val="0"/>
            <w:vAlign w:val="center"/>
          </w:tcPr>
          <w:p w14:paraId="2220567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6997" w:type="dxa"/>
            <w:gridSpan w:val="2"/>
            <w:noWrap w:val="0"/>
            <w:vAlign w:val="center"/>
          </w:tcPr>
          <w:p w14:paraId="6411BBA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AE"/>
              </w:rPr>
              <w:t>横向重叠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24"/>
                <w:szCs w:val="24"/>
                <w:lang w:val="en-GB" w:eastAsia="zh-CN" w:bidi="ar-AE"/>
              </w:rPr>
              <w:t>：</w:t>
            </w:r>
          </w:p>
          <w:tbl>
            <w:tblPr>
              <w:tblStyle w:val="4"/>
              <w:tblW w:w="679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444"/>
              <w:gridCol w:w="1935"/>
              <w:gridCol w:w="2417"/>
            </w:tblGrid>
            <w:tr w14:paraId="1715F5F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444" w:type="dxa"/>
                </w:tcPr>
                <w:p w14:paraId="5A0B5509">
                  <w:pPr>
                    <w:pStyle w:val="2"/>
                    <w:adjustRightInd w:val="0"/>
                    <w:snapToGrid w:val="0"/>
                    <w:spacing w:after="0"/>
                    <w:jc w:val="center"/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  <w:t>相关商品市场</w:t>
                  </w:r>
                </w:p>
              </w:tc>
              <w:tc>
                <w:tcPr>
                  <w:tcW w:w="1935" w:type="dxa"/>
                </w:tcPr>
                <w:p w14:paraId="00687B2B">
                  <w:pPr>
                    <w:pStyle w:val="2"/>
                    <w:adjustRightInd w:val="0"/>
                    <w:snapToGrid w:val="0"/>
                    <w:spacing w:after="0"/>
                    <w:jc w:val="center"/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  <w:t>相关地域市场</w:t>
                  </w:r>
                </w:p>
              </w:tc>
              <w:tc>
                <w:tcPr>
                  <w:tcW w:w="2417" w:type="dxa"/>
                </w:tcPr>
                <w:p w14:paraId="1A302108">
                  <w:pPr>
                    <w:pStyle w:val="2"/>
                    <w:adjustRightInd w:val="0"/>
                    <w:snapToGrid w:val="0"/>
                    <w:spacing w:after="0"/>
                    <w:jc w:val="center"/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US" w:eastAsia="zh-CN" w:bidi="ar-AE"/>
                    </w:rPr>
                    <w:t>2024年市场份额</w:t>
                  </w:r>
                </w:p>
              </w:tc>
            </w:tr>
            <w:tr w14:paraId="07D1D75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444" w:type="dxa"/>
                  <w:vMerge w:val="restart"/>
                  <w:vAlign w:val="center"/>
                </w:tcPr>
                <w:p w14:paraId="0FBC2238">
                  <w:pPr>
                    <w:pStyle w:val="2"/>
                    <w:adjustRightInd w:val="0"/>
                    <w:snapToGrid w:val="0"/>
                    <w:spacing w:after="0"/>
                    <w:jc w:val="left"/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  <w:t>液化石油气批发供应</w:t>
                  </w:r>
                  <w:r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US" w:eastAsia="zh-CN" w:bidi="ar-AE"/>
                    </w:rPr>
                    <w:t>市场</w:t>
                  </w:r>
                </w:p>
              </w:tc>
              <w:tc>
                <w:tcPr>
                  <w:tcW w:w="1935" w:type="dxa"/>
                </w:tcPr>
                <w:p w14:paraId="28AF8BD7">
                  <w:pPr>
                    <w:pStyle w:val="2"/>
                    <w:adjustRightInd w:val="0"/>
                    <w:snapToGrid w:val="0"/>
                    <w:spacing w:after="0"/>
                    <w:jc w:val="center"/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  <w:t>华南地区</w:t>
                  </w:r>
                </w:p>
              </w:tc>
              <w:tc>
                <w:tcPr>
                  <w:tcW w:w="2417" w:type="dxa"/>
                </w:tcPr>
                <w:p w14:paraId="22C153A2">
                  <w:pPr>
                    <w:pStyle w:val="2"/>
                    <w:adjustRightInd w:val="0"/>
                    <w:snapToGrid w:val="0"/>
                    <w:spacing w:after="0"/>
                    <w:jc w:val="left"/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  <w:t>广东九丰：5-10%</w:t>
                  </w:r>
                </w:p>
                <w:p w14:paraId="7195C51E">
                  <w:pPr>
                    <w:pStyle w:val="2"/>
                    <w:adjustRightInd w:val="0"/>
                    <w:snapToGrid w:val="0"/>
                    <w:spacing w:after="0"/>
                    <w:jc w:val="left"/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  <w:t>广州华凯：0-5%</w:t>
                  </w:r>
                </w:p>
                <w:p w14:paraId="66D7E187">
                  <w:pPr>
                    <w:pStyle w:val="2"/>
                    <w:adjustRightInd w:val="0"/>
                    <w:snapToGrid w:val="0"/>
                    <w:spacing w:after="0"/>
                    <w:jc w:val="left"/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  <w:t>各方合计：5-10%</w:t>
                  </w:r>
                </w:p>
              </w:tc>
            </w:tr>
            <w:tr w14:paraId="47B542D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444" w:type="dxa"/>
                  <w:vMerge w:val="continue"/>
                </w:tcPr>
                <w:p w14:paraId="15F73BA4">
                  <w:pPr>
                    <w:pStyle w:val="2"/>
                    <w:adjustRightInd w:val="0"/>
                    <w:snapToGrid w:val="0"/>
                    <w:spacing w:after="0"/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</w:pPr>
                </w:p>
              </w:tc>
              <w:tc>
                <w:tcPr>
                  <w:tcW w:w="1935" w:type="dxa"/>
                </w:tcPr>
                <w:p w14:paraId="1F7D6FDF">
                  <w:pPr>
                    <w:pStyle w:val="2"/>
                    <w:adjustRightInd w:val="0"/>
                    <w:snapToGrid w:val="0"/>
                    <w:spacing w:after="0"/>
                    <w:jc w:val="center"/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  <w:t>华中地区</w:t>
                  </w:r>
                </w:p>
              </w:tc>
              <w:tc>
                <w:tcPr>
                  <w:tcW w:w="2417" w:type="dxa"/>
                </w:tcPr>
                <w:p w14:paraId="316840B8">
                  <w:pPr>
                    <w:pStyle w:val="2"/>
                    <w:adjustRightInd w:val="0"/>
                    <w:snapToGrid w:val="0"/>
                    <w:spacing w:after="0"/>
                    <w:jc w:val="left"/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  <w:t>广东九丰：0-5%</w:t>
                  </w:r>
                </w:p>
                <w:p w14:paraId="58B8FB45">
                  <w:pPr>
                    <w:pStyle w:val="2"/>
                    <w:adjustRightInd w:val="0"/>
                    <w:snapToGrid w:val="0"/>
                    <w:spacing w:after="0"/>
                    <w:jc w:val="left"/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  <w:t>广州华凯：0-5%</w:t>
                  </w:r>
                </w:p>
                <w:p w14:paraId="438CEA75">
                  <w:pPr>
                    <w:pStyle w:val="2"/>
                    <w:adjustRightInd w:val="0"/>
                    <w:snapToGrid w:val="0"/>
                    <w:spacing w:after="0"/>
                    <w:jc w:val="left"/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eastAsia="zh-CN" w:bidi="ar-AE"/>
                    </w:rPr>
                    <w:t>各方合计：0-5%</w:t>
                  </w:r>
                </w:p>
              </w:tc>
            </w:tr>
          </w:tbl>
          <w:p w14:paraId="03F3FD1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</w:pPr>
          </w:p>
        </w:tc>
      </w:tr>
    </w:tbl>
    <w:p w14:paraId="07F9D711">
      <w:pPr>
        <w:adjustRightInd w:val="0"/>
        <w:snapToGrid w:val="0"/>
        <w:rPr>
          <w:rFonts w:hint="default" w:ascii="Times New Roman" w:hAnsi="Times New Roman" w:cs="Times New Roman" w:eastAsiaTheme="minorEastAsia"/>
        </w:rPr>
      </w:pPr>
    </w:p>
    <w:p w14:paraId="6FAFF5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678D5"/>
    <w:rsid w:val="0196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table" w:styleId="4">
    <w:name w:val="Table Grid"/>
    <w:basedOn w:val="3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2025-04-03T06:53:00Z</dcterms:created>
  <dc:creator>胡翌婧</dc:creator>
  <cp:lastModifiedBy>胡翌婧</cp:lastModifiedBy>
  <dcterms:modified xsi:type="dcterms:W3CDTF">2025-04-03T06:54:01Z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095F4DD4291A4338B4FDFFC0052E7E0E_11</vt:lpwstr>
  </property>
  <property fmtid="{D5CDD505-2E9C-101B-9397-08002B2CF9AE}" pid="4" name="KSOTemplateDocerSaveRecord">
    <vt:lpwstr>eyJoZGlkIjoiODNjM2VkZWUwYjdkZDYzZGY2NmZiZGNiZGIyMjFjYWIiLCJ1c2VySWQiOiIyNDQ2MzYxMzgifQ==</vt:lpwstr>
  </property>
</Properties>
</file>