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465383">
      <w:pPr>
        <w:jc w:val="center"/>
        <w:rPr>
          <w:rFonts w:ascii="黑体" w:hAnsi="黑体" w:eastAsia="黑体" w:cs="Arial"/>
          <w:bCs/>
          <w:sz w:val="36"/>
          <w:szCs w:val="36"/>
        </w:rPr>
      </w:pPr>
      <w:r>
        <w:rPr>
          <w:rFonts w:ascii="黑体" w:hAnsi="黑体" w:eastAsia="黑体" w:cs="Arial"/>
          <w:bCs/>
          <w:sz w:val="36"/>
          <w:szCs w:val="36"/>
        </w:rPr>
        <w:t>经营者集中简易案件公示表</w:t>
      </w:r>
    </w:p>
    <w:p w14:paraId="159F7373">
      <w:pPr>
        <w:jc w:val="center"/>
        <w:rPr>
          <w:rFonts w:ascii="Arial" w:hAnsi="Arial" w:eastAsia="仿宋_GB2312" w:cs="Arial"/>
          <w:bCs/>
          <w:szCs w:val="21"/>
        </w:rPr>
      </w:pPr>
    </w:p>
    <w:tbl>
      <w:tblPr>
        <w:tblStyle w:val="9"/>
        <w:tblW w:w="5638" w:type="pct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7"/>
        <w:gridCol w:w="1747"/>
        <w:gridCol w:w="6115"/>
      </w:tblGrid>
      <w:tr w14:paraId="1CDCE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909" w:type="pct"/>
            <w:shd w:val="clear" w:color="auto" w:fill="D8D8D8" w:themeFill="background1" w:themeFillShade="D9"/>
          </w:tcPr>
          <w:p w14:paraId="11EAA954">
            <w:pPr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kern w:val="0"/>
                <w:sz w:val="24"/>
                <w:szCs w:val="24"/>
              </w:rPr>
              <w:t>案件名称</w:t>
            </w:r>
          </w:p>
        </w:tc>
        <w:tc>
          <w:tcPr>
            <w:tcW w:w="4090" w:type="pct"/>
            <w:gridSpan w:val="2"/>
          </w:tcPr>
          <w:p w14:paraId="726EB9DA">
            <w:pPr>
              <w:jc w:val="left"/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kern w:val="0"/>
                <w:sz w:val="24"/>
                <w:szCs w:val="24"/>
              </w:rPr>
              <w:t>四川九洲君合私募基金管理有限公司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与</w:t>
            </w:r>
            <w:r>
              <w:rPr>
                <w:rFonts w:hint="default" w:ascii="Arial" w:hAnsi="Arial" w:eastAsia="宋体" w:cs="Arial"/>
                <w:kern w:val="0"/>
                <w:sz w:val="24"/>
                <w:szCs w:val="24"/>
              </w:rPr>
              <w:t>苏州工业园区元禾新兴产业投资管理有限公司新设合营企业案</w:t>
            </w:r>
          </w:p>
        </w:tc>
      </w:tr>
      <w:tr w14:paraId="0A32B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909" w:type="pct"/>
            <w:shd w:val="clear" w:color="auto" w:fill="D8D8D8" w:themeFill="background1" w:themeFillShade="D9"/>
          </w:tcPr>
          <w:p w14:paraId="61517286">
            <w:pPr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kern w:val="0"/>
                <w:sz w:val="24"/>
                <w:szCs w:val="24"/>
              </w:rPr>
              <w:t>交易概况（限200字内）</w:t>
            </w:r>
          </w:p>
        </w:tc>
        <w:tc>
          <w:tcPr>
            <w:tcW w:w="4090" w:type="pct"/>
            <w:gridSpan w:val="2"/>
          </w:tcPr>
          <w:p w14:paraId="7339C475">
            <w:pPr>
              <w:jc w:val="left"/>
              <w:rPr>
                <w:rFonts w:hint="default" w:ascii="Arial" w:hAnsi="Arial" w:eastAsia="宋体" w:cs="Arial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sz w:val="24"/>
                <w:szCs w:val="24"/>
              </w:rPr>
              <w:t>四川九洲君合私募基金管理有限公司（</w:t>
            </w:r>
            <w:r>
              <w:rPr>
                <w:rFonts w:hint="eastAsia" w:ascii="Arial" w:hAnsi="Arial" w:eastAsia="宋体" w:cs="Arial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Arial" w:hAnsi="Arial" w:eastAsia="宋体" w:cs="Arial"/>
                <w:b/>
                <w:sz w:val="24"/>
                <w:szCs w:val="24"/>
              </w:rPr>
              <w:t>九</w:t>
            </w:r>
            <w:bookmarkStart w:id="0" w:name="_GoBack"/>
            <w:bookmarkEnd w:id="0"/>
            <w:r>
              <w:rPr>
                <w:rFonts w:hint="default" w:ascii="Arial" w:hAnsi="Arial" w:eastAsia="宋体" w:cs="Arial"/>
                <w:b/>
                <w:sz w:val="24"/>
                <w:szCs w:val="24"/>
              </w:rPr>
              <w:t>洲君合</w:t>
            </w:r>
            <w:r>
              <w:rPr>
                <w:rFonts w:hint="eastAsia" w:ascii="Arial" w:hAnsi="Arial" w:eastAsia="宋体" w:cs="Arial"/>
                <w:b w:val="0"/>
                <w:bCs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Arial" w:hAnsi="Arial" w:eastAsia="宋体" w:cs="Arial"/>
                <w:sz w:val="24"/>
                <w:szCs w:val="24"/>
              </w:rPr>
              <w:t>）</w:t>
            </w:r>
            <w:r>
              <w:rPr>
                <w:rFonts w:hint="eastAsia" w:ascii="Arial" w:hAnsi="Arial" w:cs="Arial"/>
                <w:sz w:val="24"/>
                <w:szCs w:val="24"/>
                <w:lang w:val="en-US" w:eastAsia="zh-CN"/>
              </w:rPr>
              <w:t>与</w:t>
            </w:r>
            <w:r>
              <w:rPr>
                <w:rFonts w:hint="default" w:ascii="Arial" w:hAnsi="Arial" w:eastAsia="宋体" w:cs="Arial"/>
                <w:sz w:val="24"/>
                <w:szCs w:val="24"/>
              </w:rPr>
              <w:t>苏州工业园区元禾新兴产业投资管理有限公司（</w:t>
            </w:r>
            <w:r>
              <w:rPr>
                <w:rFonts w:hint="eastAsia" w:ascii="Arial" w:hAnsi="Arial" w:eastAsia="宋体" w:cs="Arial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Arial" w:hAnsi="Arial" w:eastAsia="宋体" w:cs="Arial"/>
                <w:b/>
                <w:bCs/>
                <w:sz w:val="24"/>
                <w:szCs w:val="24"/>
              </w:rPr>
              <w:t>元禾新兴</w:t>
            </w:r>
            <w:r>
              <w:rPr>
                <w:rFonts w:hint="eastAsia" w:ascii="Arial" w:hAnsi="Arial" w:eastAsia="宋体" w:cs="Arial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Arial" w:hAnsi="Arial" w:eastAsia="宋体" w:cs="Arial"/>
                <w:sz w:val="24"/>
                <w:szCs w:val="24"/>
              </w:rPr>
              <w:t>）签署协议，</w:t>
            </w:r>
            <w:r>
              <w:rPr>
                <w:rFonts w:hint="eastAsia" w:ascii="Arial" w:hAnsi="Arial" w:eastAsia="宋体" w:cs="Arial"/>
                <w:sz w:val="24"/>
                <w:szCs w:val="24"/>
                <w:lang w:val="en-US" w:eastAsia="zh-CN"/>
              </w:rPr>
              <w:t>拟</w:t>
            </w:r>
            <w:r>
              <w:rPr>
                <w:rFonts w:hint="default" w:ascii="Arial" w:hAnsi="Arial" w:eastAsia="宋体" w:cs="Arial"/>
                <w:sz w:val="24"/>
                <w:szCs w:val="24"/>
              </w:rPr>
              <w:t>新设一家合营企业（</w:t>
            </w:r>
            <w:r>
              <w:rPr>
                <w:rFonts w:hint="eastAsia" w:ascii="Arial" w:hAnsi="Arial" w:eastAsia="宋体" w:cs="Arial"/>
                <w:sz w:val="24"/>
                <w:szCs w:val="24"/>
                <w:lang w:eastAsia="zh-CN"/>
              </w:rPr>
              <w:t>“</w:t>
            </w:r>
            <w:r>
              <w:rPr>
                <w:rFonts w:hint="default" w:ascii="Arial" w:hAnsi="Arial" w:eastAsia="宋体" w:cs="Arial"/>
                <w:b/>
                <w:sz w:val="24"/>
                <w:szCs w:val="24"/>
              </w:rPr>
              <w:t>本次交易</w:t>
            </w:r>
            <w:r>
              <w:rPr>
                <w:rFonts w:hint="eastAsia" w:ascii="Arial" w:hAnsi="Arial" w:eastAsia="宋体" w:cs="Arial"/>
                <w:sz w:val="24"/>
                <w:szCs w:val="24"/>
                <w:lang w:eastAsia="zh-CN"/>
              </w:rPr>
              <w:t>”</w:t>
            </w:r>
            <w:r>
              <w:rPr>
                <w:rFonts w:hint="default" w:ascii="Arial" w:hAnsi="Arial" w:eastAsia="宋体" w:cs="Arial"/>
                <w:sz w:val="24"/>
                <w:szCs w:val="24"/>
              </w:rPr>
              <w:t>）。合营企业主要从事私募股权投资基金业务。本次交易后，</w:t>
            </w:r>
            <w:r>
              <w:rPr>
                <w:rFonts w:hint="default" w:ascii="Arial" w:hAnsi="Arial" w:eastAsia="宋体" w:cs="Arial"/>
                <w:sz w:val="24"/>
                <w:szCs w:val="24"/>
                <w:lang w:val="en-US" w:eastAsia="zh-CN"/>
              </w:rPr>
              <w:t>九洲君合和</w:t>
            </w:r>
            <w:r>
              <w:rPr>
                <w:rFonts w:hint="default" w:ascii="Arial" w:hAnsi="Arial" w:eastAsia="宋体" w:cs="Arial"/>
                <w:sz w:val="24"/>
                <w:szCs w:val="24"/>
              </w:rPr>
              <w:t>元禾新兴及其关联方分别</w:t>
            </w:r>
            <w:r>
              <w:rPr>
                <w:rFonts w:hint="default" w:ascii="Arial" w:hAnsi="Arial" w:eastAsia="宋体" w:cs="Arial"/>
                <w:sz w:val="24"/>
                <w:szCs w:val="24"/>
                <w:lang w:val="en-US" w:eastAsia="zh-CN"/>
              </w:rPr>
              <w:t>合计</w:t>
            </w:r>
            <w:r>
              <w:rPr>
                <w:rFonts w:hint="default" w:ascii="Arial" w:hAnsi="Arial" w:eastAsia="宋体" w:cs="Arial"/>
                <w:sz w:val="24"/>
                <w:szCs w:val="24"/>
              </w:rPr>
              <w:t>持有合营企业75.44%</w:t>
            </w:r>
            <w:r>
              <w:rPr>
                <w:rFonts w:hint="eastAsia" w:ascii="Arial" w:hAnsi="Arial" w:cs="Arial"/>
                <w:sz w:val="24"/>
                <w:szCs w:val="24"/>
                <w:lang w:val="en-US" w:eastAsia="zh-CN"/>
              </w:rPr>
              <w:t>和</w:t>
            </w:r>
            <w:r>
              <w:rPr>
                <w:rFonts w:hint="default" w:ascii="Arial" w:hAnsi="Arial" w:eastAsia="宋体" w:cs="Arial"/>
                <w:sz w:val="24"/>
                <w:szCs w:val="24"/>
              </w:rPr>
              <w:t>24.56%</w:t>
            </w:r>
            <w:r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  <w:t>的</w:t>
            </w:r>
            <w:r>
              <w:rPr>
                <w:rFonts w:hint="default" w:ascii="Arial" w:hAnsi="Arial" w:eastAsia="宋体" w:cs="Arial"/>
                <w:sz w:val="24"/>
                <w:szCs w:val="24"/>
              </w:rPr>
              <w:t>认缴出资额，九洲君合</w:t>
            </w:r>
            <w:r>
              <w:rPr>
                <w:rFonts w:hint="eastAsia" w:ascii="Arial" w:hAnsi="Arial" w:cs="Arial"/>
                <w:sz w:val="24"/>
                <w:szCs w:val="24"/>
                <w:lang w:val="en-US" w:eastAsia="zh-CN"/>
              </w:rPr>
              <w:t>和</w:t>
            </w:r>
            <w:r>
              <w:rPr>
                <w:rFonts w:hint="default" w:ascii="Arial" w:hAnsi="Arial" w:eastAsia="宋体" w:cs="Arial"/>
                <w:sz w:val="24"/>
                <w:szCs w:val="24"/>
              </w:rPr>
              <w:t>元禾新兴</w:t>
            </w:r>
            <w:r>
              <w:rPr>
                <w:rFonts w:hint="eastAsia" w:ascii="Arial" w:hAnsi="Arial" w:eastAsia="宋体" w:cs="Arial"/>
                <w:sz w:val="24"/>
                <w:szCs w:val="24"/>
                <w:lang w:val="en-US" w:eastAsia="zh-CN"/>
              </w:rPr>
              <w:t>共同作为普通合伙人</w:t>
            </w:r>
            <w:r>
              <w:rPr>
                <w:rFonts w:hint="default" w:ascii="Arial" w:hAnsi="Arial" w:eastAsia="宋体" w:cs="Arial"/>
                <w:sz w:val="24"/>
                <w:szCs w:val="24"/>
              </w:rPr>
              <w:t>控制合营企业。</w:t>
            </w:r>
          </w:p>
        </w:tc>
      </w:tr>
      <w:tr w14:paraId="21667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</w:trPr>
        <w:tc>
          <w:tcPr>
            <w:tcW w:w="909" w:type="pct"/>
            <w:vMerge w:val="restart"/>
            <w:shd w:val="clear" w:color="auto" w:fill="D8D8D8" w:themeFill="background1" w:themeFillShade="D9"/>
          </w:tcPr>
          <w:p w14:paraId="56282CD1">
            <w:pPr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kern w:val="0"/>
                <w:sz w:val="24"/>
                <w:szCs w:val="24"/>
              </w:rPr>
              <w:t>参与集中的经营者简介（每个限100字以内）</w:t>
            </w:r>
          </w:p>
        </w:tc>
        <w:tc>
          <w:tcPr>
            <w:tcW w:w="1747" w:type="dxa"/>
          </w:tcPr>
          <w:p w14:paraId="5E4C1EFF">
            <w:pPr>
              <w:numPr>
                <w:ilvl w:val="0"/>
                <w:numId w:val="1"/>
              </w:numPr>
              <w:jc w:val="left"/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sz w:val="24"/>
                <w:szCs w:val="24"/>
              </w:rPr>
              <w:t>九洲君合</w:t>
            </w:r>
          </w:p>
        </w:tc>
        <w:tc>
          <w:tcPr>
            <w:tcW w:w="6115" w:type="dxa"/>
          </w:tcPr>
          <w:p w14:paraId="341E7F97">
            <w:pPr>
              <w:jc w:val="left"/>
              <w:rPr>
                <w:rFonts w:hint="default" w:ascii="Arial" w:hAnsi="Arial" w:eastAsia="宋体" w:cs="Arial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sz w:val="24"/>
                <w:szCs w:val="24"/>
              </w:rPr>
              <w:t>九洲君合于2020年9月10日成立于四川省成都市，主要从事私募股权投资基金管理、创业投资基金管理服务业务。</w:t>
            </w:r>
          </w:p>
          <w:p w14:paraId="320798D5">
            <w:pPr>
              <w:jc w:val="left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宋体" w:cs="Arial"/>
                <w:sz w:val="24"/>
                <w:szCs w:val="24"/>
              </w:rPr>
              <w:t>九洲君合的最终控制人为四川九洲投资控股集团有限公司，主要提供信息化智能化装备及系统、融合发展类数字智能软硬件产品及服务</w:t>
            </w:r>
            <w:r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  <w:t>。</w:t>
            </w:r>
          </w:p>
        </w:tc>
      </w:tr>
      <w:tr w14:paraId="58728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</w:trPr>
        <w:tc>
          <w:tcPr>
            <w:tcW w:w="909" w:type="pct"/>
            <w:vMerge w:val="continue"/>
            <w:shd w:val="clear" w:color="auto" w:fill="D8D8D8" w:themeFill="background1" w:themeFillShade="D9"/>
          </w:tcPr>
          <w:p w14:paraId="737E338A">
            <w:pPr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1747" w:type="dxa"/>
          </w:tcPr>
          <w:p w14:paraId="4B8C2167">
            <w:pPr>
              <w:numPr>
                <w:ilvl w:val="0"/>
                <w:numId w:val="1"/>
              </w:numPr>
              <w:jc w:val="left"/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kern w:val="0"/>
                <w:sz w:val="24"/>
                <w:szCs w:val="24"/>
              </w:rPr>
              <w:t>元禾新兴</w:t>
            </w:r>
          </w:p>
        </w:tc>
        <w:tc>
          <w:tcPr>
            <w:tcW w:w="6115" w:type="dxa"/>
          </w:tcPr>
          <w:p w14:paraId="0D998223">
            <w:pPr>
              <w:jc w:val="left"/>
              <w:rPr>
                <w:rFonts w:hint="default" w:ascii="Arial" w:hAnsi="Arial" w:eastAsia="宋体" w:cs="Arial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sz w:val="24"/>
                <w:szCs w:val="24"/>
              </w:rPr>
              <w:t>元禾新兴于2017年9月27日成立于江苏省苏州市，主要从事私募股权投资基金管理业务。</w:t>
            </w:r>
          </w:p>
          <w:p w14:paraId="41F05EBE">
            <w:pPr>
              <w:jc w:val="left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宋体" w:cs="Arial"/>
                <w:sz w:val="24"/>
                <w:szCs w:val="24"/>
              </w:rPr>
              <w:t>元禾新兴的最终控制人为苏州工业园区经济发展有限公司，主要从事产业投资和控股业务。</w:t>
            </w:r>
          </w:p>
        </w:tc>
      </w:tr>
      <w:tr w14:paraId="1A5EB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909" w:type="pct"/>
            <w:vMerge w:val="restart"/>
            <w:shd w:val="clear" w:color="auto" w:fill="D8D8D8" w:themeFill="background1" w:themeFillShade="D9"/>
          </w:tcPr>
          <w:p w14:paraId="3D2DFBF6">
            <w:pPr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kern w:val="0"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4090" w:type="pct"/>
            <w:gridSpan w:val="2"/>
          </w:tcPr>
          <w:p w14:paraId="2827CFE1">
            <w:pPr>
              <w:jc w:val="left"/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Cs/>
                <w:sz w:val="24"/>
                <w:szCs w:val="24"/>
              </w:rPr>
              <w:sym w:font="Wingdings" w:char="00FE"/>
            </w:r>
            <w:r>
              <w:rPr>
                <w:rFonts w:hint="default" w:ascii="Arial" w:hAnsi="Arial" w:eastAsia="宋体" w:cs="Arial"/>
                <w:sz w:val="24"/>
                <w:szCs w:val="24"/>
              </w:rPr>
              <w:t>1. 在同一相关市场，所有参与集中的经营者所占市场份额之和小于15%。</w:t>
            </w:r>
          </w:p>
        </w:tc>
      </w:tr>
      <w:tr w14:paraId="186BD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09" w:type="pct"/>
            <w:vMerge w:val="continue"/>
            <w:shd w:val="clear" w:color="auto" w:fill="D8D8D8" w:themeFill="background1" w:themeFillShade="D9"/>
          </w:tcPr>
          <w:p w14:paraId="3EB12A12">
            <w:pPr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4090" w:type="pct"/>
            <w:gridSpan w:val="2"/>
          </w:tcPr>
          <w:p w14:paraId="2DA7C636">
            <w:pPr>
              <w:jc w:val="left"/>
              <w:rPr>
                <w:rFonts w:hint="default" w:ascii="Arial" w:hAnsi="Arial" w:eastAsia="宋体" w:cs="Arial"/>
                <w:b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Cs/>
                <w:sz w:val="24"/>
                <w:szCs w:val="24"/>
              </w:rPr>
              <w:sym w:font="Wingdings" w:char="00A8"/>
            </w:r>
            <w:r>
              <w:rPr>
                <w:rFonts w:hint="default" w:ascii="Arial" w:hAnsi="Arial" w:eastAsia="宋体" w:cs="Arial"/>
                <w:bCs/>
                <w:sz w:val="24"/>
                <w:szCs w:val="24"/>
              </w:rPr>
              <w:t>2. 存在上下游关系的参与集中的经营者，在上下游市场所占的市场份额均小于25%。</w:t>
            </w:r>
          </w:p>
        </w:tc>
      </w:tr>
      <w:tr w14:paraId="2C811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9" w:type="pct"/>
            <w:vMerge w:val="continue"/>
            <w:shd w:val="clear" w:color="auto" w:fill="D8D8D8" w:themeFill="background1" w:themeFillShade="D9"/>
          </w:tcPr>
          <w:p w14:paraId="7D571DF3">
            <w:pPr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4090" w:type="pct"/>
            <w:gridSpan w:val="2"/>
          </w:tcPr>
          <w:p w14:paraId="1224E565">
            <w:pPr>
              <w:jc w:val="left"/>
              <w:rPr>
                <w:rFonts w:hint="default" w:ascii="Arial" w:hAnsi="Arial" w:eastAsia="宋体" w:cs="Arial"/>
                <w:bCs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Cs/>
                <w:sz w:val="24"/>
                <w:szCs w:val="24"/>
              </w:rPr>
              <w:sym w:font="Wingdings" w:char="00A8"/>
            </w:r>
            <w:r>
              <w:rPr>
                <w:rFonts w:hint="default" w:ascii="Arial" w:hAnsi="Arial" w:eastAsia="宋体" w:cs="Arial"/>
                <w:bCs/>
                <w:sz w:val="24"/>
                <w:szCs w:val="24"/>
              </w:rPr>
              <w:t>3. 不在同一相关市场、也不存在上下游关系的参与集中的经营者，在与交易有关的每个市场所占的份额均小于25%。</w:t>
            </w:r>
          </w:p>
        </w:tc>
      </w:tr>
      <w:tr w14:paraId="2883B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909" w:type="pct"/>
            <w:vMerge w:val="continue"/>
            <w:shd w:val="clear" w:color="auto" w:fill="D8D8D8" w:themeFill="background1" w:themeFillShade="D9"/>
          </w:tcPr>
          <w:p w14:paraId="70ABA3DF">
            <w:pPr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4090" w:type="pct"/>
            <w:gridSpan w:val="2"/>
          </w:tcPr>
          <w:p w14:paraId="03BA98C7">
            <w:pPr>
              <w:jc w:val="left"/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sz w:val="24"/>
                <w:szCs w:val="24"/>
              </w:rPr>
              <w:sym w:font="Wingdings" w:char="F0A8"/>
            </w:r>
            <w:r>
              <w:rPr>
                <w:rFonts w:hint="default" w:ascii="Arial" w:hAnsi="Arial" w:eastAsia="宋体" w:cs="Arial"/>
                <w:sz w:val="24"/>
                <w:szCs w:val="24"/>
              </w:rPr>
              <w:t>4. 参与集中的经营者在中国境外设立合营企业，合营企业不在中国境内从事经济活动。</w:t>
            </w:r>
          </w:p>
        </w:tc>
      </w:tr>
      <w:tr w14:paraId="0D792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909" w:type="pct"/>
            <w:vMerge w:val="continue"/>
            <w:shd w:val="clear" w:color="auto" w:fill="D8D8D8" w:themeFill="background1" w:themeFillShade="D9"/>
          </w:tcPr>
          <w:p w14:paraId="608446B4">
            <w:pPr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4090" w:type="pct"/>
            <w:gridSpan w:val="2"/>
          </w:tcPr>
          <w:p w14:paraId="4D994F04">
            <w:pPr>
              <w:jc w:val="left"/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sz w:val="24"/>
                <w:szCs w:val="24"/>
              </w:rPr>
              <w:sym w:font="Wingdings" w:char="F0A8"/>
            </w:r>
            <w:r>
              <w:rPr>
                <w:rFonts w:hint="default" w:ascii="Arial" w:hAnsi="Arial" w:eastAsia="宋体" w:cs="Arial"/>
                <w:sz w:val="24"/>
                <w:szCs w:val="24"/>
              </w:rPr>
              <w:t>5. 参与集中的经营者收购境外企业股权或资产的，该境外企业不在中国境内从事经济活动。</w:t>
            </w:r>
          </w:p>
        </w:tc>
      </w:tr>
      <w:tr w14:paraId="342C1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09" w:type="pct"/>
            <w:vMerge w:val="continue"/>
            <w:shd w:val="clear" w:color="auto" w:fill="D8D8D8" w:themeFill="background1" w:themeFillShade="D9"/>
          </w:tcPr>
          <w:p w14:paraId="7CF26F14">
            <w:pPr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4090" w:type="pct"/>
            <w:gridSpan w:val="2"/>
          </w:tcPr>
          <w:p w14:paraId="7B9C3F0F">
            <w:pPr>
              <w:jc w:val="left"/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sz w:val="24"/>
                <w:szCs w:val="24"/>
              </w:rPr>
              <w:sym w:font="Wingdings" w:char="F0A8"/>
            </w:r>
            <w:r>
              <w:rPr>
                <w:rFonts w:hint="default" w:ascii="Arial" w:hAnsi="Arial" w:eastAsia="宋体" w:cs="Arial"/>
                <w:sz w:val="24"/>
                <w:szCs w:val="24"/>
              </w:rPr>
              <w:t>6. 由两个以上的经营者共同控制的合营企业，通过集中被其中一个或一个以上经营者控制。</w:t>
            </w:r>
          </w:p>
        </w:tc>
      </w:tr>
      <w:tr w14:paraId="7BE2D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09" w:type="pct"/>
            <w:shd w:val="clear" w:color="auto" w:fill="D8D8D8" w:themeFill="background1" w:themeFillShade="D9"/>
          </w:tcPr>
          <w:p w14:paraId="4CC87F9F">
            <w:pPr>
              <w:rPr>
                <w:rFonts w:hint="default"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kern w:val="0"/>
                <w:sz w:val="24"/>
                <w:szCs w:val="24"/>
              </w:rPr>
              <w:t>备注</w:t>
            </w:r>
          </w:p>
        </w:tc>
        <w:tc>
          <w:tcPr>
            <w:tcW w:w="4090" w:type="pct"/>
            <w:gridSpan w:val="2"/>
          </w:tcPr>
          <w:p w14:paraId="6779C324">
            <w:pPr>
              <w:jc w:val="left"/>
              <w:rPr>
                <w:rFonts w:hint="default" w:ascii="Arial" w:hAnsi="Arial" w:eastAsia="宋体" w:cs="Arial"/>
                <w:bCs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/>
                <w:bCs w:val="0"/>
                <w:sz w:val="24"/>
                <w:szCs w:val="24"/>
                <w:lang w:val="en-US" w:eastAsia="zh-CN"/>
              </w:rPr>
              <w:t>横向重叠</w:t>
            </w:r>
            <w:r>
              <w:rPr>
                <w:rFonts w:hint="default" w:ascii="Arial" w:hAnsi="Arial" w:eastAsia="宋体" w:cs="Arial"/>
                <w:bCs/>
                <w:sz w:val="24"/>
                <w:szCs w:val="24"/>
              </w:rPr>
              <w:t>：</w:t>
            </w:r>
          </w:p>
          <w:p w14:paraId="7D4D39A1">
            <w:pPr>
              <w:jc w:val="left"/>
              <w:rPr>
                <w:rFonts w:hint="default" w:ascii="Arial" w:hAnsi="Arial" w:eastAsia="宋体" w:cs="Arial"/>
                <w:bCs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Cs/>
                <w:sz w:val="24"/>
                <w:szCs w:val="24"/>
              </w:rPr>
              <w:t>2024年中国境内私募股权投资基金市场：</w:t>
            </w:r>
          </w:p>
          <w:p w14:paraId="45402B7F">
            <w:pPr>
              <w:tabs>
                <w:tab w:val="left" w:pos="6300"/>
              </w:tabs>
              <w:jc w:val="left"/>
              <w:rPr>
                <w:rFonts w:hint="default" w:ascii="Arial" w:hAnsi="Arial" w:eastAsia="宋体" w:cs="Arial"/>
                <w:bCs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bCs/>
                <w:sz w:val="24"/>
                <w:szCs w:val="24"/>
                <w:lang w:val="en-US" w:eastAsia="zh-CN"/>
              </w:rPr>
              <w:t>九洲君合：</w:t>
            </w:r>
            <w:r>
              <w:rPr>
                <w:rFonts w:hint="default" w:ascii="Arial" w:hAnsi="Arial" w:eastAsia="宋体" w:cs="Arial"/>
                <w:bCs/>
                <w:sz w:val="24"/>
                <w:szCs w:val="24"/>
              </w:rPr>
              <w:t>[0-5]%</w:t>
            </w:r>
            <w:r>
              <w:rPr>
                <w:rFonts w:hint="default" w:ascii="Arial" w:hAnsi="Arial" w:eastAsia="宋体" w:cs="Arial"/>
                <w:bCs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Arial" w:hAnsi="Arial" w:eastAsia="宋体" w:cs="Arial"/>
                <w:bCs/>
                <w:sz w:val="24"/>
                <w:szCs w:val="24"/>
              </w:rPr>
              <w:t>元禾新兴：[0-5]%；</w:t>
            </w:r>
            <w:r>
              <w:rPr>
                <w:rFonts w:hint="eastAsia" w:ascii="Arial" w:hAnsi="Arial" w:eastAsia="宋体" w:cs="Arial"/>
                <w:bCs/>
                <w:sz w:val="24"/>
                <w:szCs w:val="24"/>
                <w:lang w:val="en-US" w:eastAsia="zh-CN"/>
              </w:rPr>
              <w:t>双</w:t>
            </w:r>
            <w:r>
              <w:rPr>
                <w:rFonts w:hint="default" w:ascii="Arial" w:hAnsi="Arial" w:eastAsia="宋体" w:cs="Arial"/>
                <w:bCs/>
                <w:sz w:val="24"/>
                <w:szCs w:val="24"/>
                <w:lang w:val="en-US" w:eastAsia="zh-CN"/>
              </w:rPr>
              <w:t>方</w:t>
            </w:r>
            <w:r>
              <w:rPr>
                <w:rFonts w:hint="default" w:ascii="Arial" w:hAnsi="Arial" w:eastAsia="宋体" w:cs="Arial"/>
                <w:bCs/>
                <w:sz w:val="24"/>
                <w:szCs w:val="24"/>
              </w:rPr>
              <w:t>合计：[0-5]%</w:t>
            </w:r>
          </w:p>
          <w:p w14:paraId="241C3BE5">
            <w:pPr>
              <w:jc w:val="left"/>
              <w:rPr>
                <w:rFonts w:hint="default" w:ascii="Arial" w:hAnsi="Arial" w:eastAsia="宋体" w:cs="Arial"/>
                <w:bCs/>
                <w:sz w:val="24"/>
                <w:szCs w:val="24"/>
              </w:rPr>
            </w:pPr>
          </w:p>
        </w:tc>
      </w:tr>
    </w:tbl>
    <w:p w14:paraId="4CEC4B29">
      <w:pPr>
        <w:pStyle w:val="14"/>
        <w:ind w:firstLine="0" w:firstLineChars="0"/>
        <w:jc w:val="left"/>
        <w:rPr>
          <w:rFonts w:ascii="Arial" w:hAnsi="Arial" w:eastAsia="仿宋_GB2312" w:cs="Arial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implified Arabic">
    <w:altName w:val="Segoe Print"/>
    <w:panose1 w:val="00000000000000000000"/>
    <w:charset w:val="B2"/>
    <w:family w:val="roman"/>
    <w:pitch w:val="default"/>
    <w:sig w:usb0="00000000" w:usb1="00000000" w:usb2="00000008" w:usb3="00000000" w:csb0="0000004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cs="Arial"/>
      </w:rPr>
      <w:id w:val="351765434"/>
    </w:sdtPr>
    <w:sdtEndPr>
      <w:rPr>
        <w:rFonts w:ascii="Arial" w:hAnsi="Arial" w:cs="Arial"/>
      </w:rPr>
    </w:sdtEndPr>
    <w:sdtContent>
      <w:sdt>
        <w:sdtPr>
          <w:rPr>
            <w:rFonts w:ascii="Arial" w:hAnsi="Arial" w:cs="Arial"/>
          </w:rPr>
          <w:id w:val="1728636285"/>
        </w:sdtPr>
        <w:sdtEndPr>
          <w:rPr>
            <w:rFonts w:ascii="Arial" w:hAnsi="Arial" w:cs="Arial"/>
          </w:rPr>
        </w:sdtEndPr>
        <w:sdtContent>
          <w:p w14:paraId="2FCD4F68">
            <w:pPr>
              <w:pStyle w:val="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zh-CN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Arial" w:hAnsi="Arial" w:cs="Arial"/>
                <w:b/>
                <w:bCs/>
              </w:rPr>
              <w:instrText xml:space="preserve">PAGE</w:instrTex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/>
                <w:bCs/>
                <w:lang w:val="zh-CN"/>
              </w:rPr>
              <w:t>2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Arial" w:hAnsi="Arial" w:cs="Arial"/>
                <w:lang w:val="zh-CN"/>
              </w:rPr>
              <w:t xml:space="preserve"> /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Arial" w:hAnsi="Arial" w:cs="Arial"/>
                <w:b/>
                <w:bCs/>
              </w:rPr>
              <w:instrText xml:space="preserve">NUMPAGES</w:instrTex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/>
                <w:bCs/>
                <w:lang w:val="zh-CN"/>
              </w:rPr>
              <w:t>2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AA4B8E"/>
    <w:multiLevelType w:val="multilevel"/>
    <w:tmpl w:val="19AA4B8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iNzFmNmFjMWRjZTc4YmY5Njc5ZDcxNzFlODlmMmEifQ=="/>
  </w:docVars>
  <w:rsids>
    <w:rsidRoot w:val="00CB00DF"/>
    <w:rsid w:val="00004D80"/>
    <w:rsid w:val="0001219A"/>
    <w:rsid w:val="00016404"/>
    <w:rsid w:val="00032D61"/>
    <w:rsid w:val="000346E2"/>
    <w:rsid w:val="00037065"/>
    <w:rsid w:val="00037A30"/>
    <w:rsid w:val="00046045"/>
    <w:rsid w:val="0005296D"/>
    <w:rsid w:val="00060786"/>
    <w:rsid w:val="00062E75"/>
    <w:rsid w:val="00066350"/>
    <w:rsid w:val="000719FD"/>
    <w:rsid w:val="000731C3"/>
    <w:rsid w:val="00077422"/>
    <w:rsid w:val="000804DC"/>
    <w:rsid w:val="00092DB5"/>
    <w:rsid w:val="000A1D05"/>
    <w:rsid w:val="000A22A8"/>
    <w:rsid w:val="000A34B4"/>
    <w:rsid w:val="000A3A58"/>
    <w:rsid w:val="000B0A46"/>
    <w:rsid w:val="000B16A6"/>
    <w:rsid w:val="000B7666"/>
    <w:rsid w:val="000C377F"/>
    <w:rsid w:val="000C6AB1"/>
    <w:rsid w:val="000D03E0"/>
    <w:rsid w:val="000D3FAC"/>
    <w:rsid w:val="000D7EBA"/>
    <w:rsid w:val="000E1FD3"/>
    <w:rsid w:val="000F33E1"/>
    <w:rsid w:val="000F5016"/>
    <w:rsid w:val="001036FF"/>
    <w:rsid w:val="0010572C"/>
    <w:rsid w:val="00107E5C"/>
    <w:rsid w:val="00111C90"/>
    <w:rsid w:val="00112EE3"/>
    <w:rsid w:val="0011450A"/>
    <w:rsid w:val="00115C8C"/>
    <w:rsid w:val="00116377"/>
    <w:rsid w:val="001164CD"/>
    <w:rsid w:val="00117D16"/>
    <w:rsid w:val="00123FF5"/>
    <w:rsid w:val="00126B45"/>
    <w:rsid w:val="00130874"/>
    <w:rsid w:val="00133671"/>
    <w:rsid w:val="00134BF9"/>
    <w:rsid w:val="0013577E"/>
    <w:rsid w:val="00136643"/>
    <w:rsid w:val="00152D0A"/>
    <w:rsid w:val="00155717"/>
    <w:rsid w:val="00155981"/>
    <w:rsid w:val="00157F94"/>
    <w:rsid w:val="00162287"/>
    <w:rsid w:val="00167E26"/>
    <w:rsid w:val="00175FF1"/>
    <w:rsid w:val="00180B5C"/>
    <w:rsid w:val="001837A3"/>
    <w:rsid w:val="00184E9A"/>
    <w:rsid w:val="0018655E"/>
    <w:rsid w:val="00195811"/>
    <w:rsid w:val="0019660D"/>
    <w:rsid w:val="001A7E31"/>
    <w:rsid w:val="001B05F8"/>
    <w:rsid w:val="001B4E74"/>
    <w:rsid w:val="001C08DA"/>
    <w:rsid w:val="001C3209"/>
    <w:rsid w:val="001D3755"/>
    <w:rsid w:val="001D78F7"/>
    <w:rsid w:val="001E73E7"/>
    <w:rsid w:val="001F0DD5"/>
    <w:rsid w:val="00205C1E"/>
    <w:rsid w:val="00207F3E"/>
    <w:rsid w:val="00213EC0"/>
    <w:rsid w:val="002174C0"/>
    <w:rsid w:val="00222F09"/>
    <w:rsid w:val="00252019"/>
    <w:rsid w:val="00256A1D"/>
    <w:rsid w:val="00260CEC"/>
    <w:rsid w:val="00261605"/>
    <w:rsid w:val="00261F80"/>
    <w:rsid w:val="00271790"/>
    <w:rsid w:val="0027194E"/>
    <w:rsid w:val="00272C6D"/>
    <w:rsid w:val="0027695B"/>
    <w:rsid w:val="00276E43"/>
    <w:rsid w:val="0027775D"/>
    <w:rsid w:val="00284388"/>
    <w:rsid w:val="00290E6A"/>
    <w:rsid w:val="00295809"/>
    <w:rsid w:val="002961BD"/>
    <w:rsid w:val="002A7B1A"/>
    <w:rsid w:val="002B0F1D"/>
    <w:rsid w:val="002B540C"/>
    <w:rsid w:val="002B6AF4"/>
    <w:rsid w:val="002C5102"/>
    <w:rsid w:val="002C7953"/>
    <w:rsid w:val="002D3E65"/>
    <w:rsid w:val="002D4185"/>
    <w:rsid w:val="002D69F9"/>
    <w:rsid w:val="002E4DB9"/>
    <w:rsid w:val="002E6891"/>
    <w:rsid w:val="002F0C29"/>
    <w:rsid w:val="002F4002"/>
    <w:rsid w:val="002F456E"/>
    <w:rsid w:val="003072B4"/>
    <w:rsid w:val="003102B6"/>
    <w:rsid w:val="00310AE8"/>
    <w:rsid w:val="003116A1"/>
    <w:rsid w:val="003121BE"/>
    <w:rsid w:val="003142CE"/>
    <w:rsid w:val="003212E8"/>
    <w:rsid w:val="00334FCC"/>
    <w:rsid w:val="003357A5"/>
    <w:rsid w:val="00335A4F"/>
    <w:rsid w:val="00335BE3"/>
    <w:rsid w:val="003367A8"/>
    <w:rsid w:val="00337659"/>
    <w:rsid w:val="00342865"/>
    <w:rsid w:val="00352EAE"/>
    <w:rsid w:val="00357202"/>
    <w:rsid w:val="003619E6"/>
    <w:rsid w:val="0037047F"/>
    <w:rsid w:val="00377BDC"/>
    <w:rsid w:val="003802E4"/>
    <w:rsid w:val="00380EAC"/>
    <w:rsid w:val="003904A0"/>
    <w:rsid w:val="00390642"/>
    <w:rsid w:val="00391A75"/>
    <w:rsid w:val="003B2E32"/>
    <w:rsid w:val="003B3767"/>
    <w:rsid w:val="003C0AEB"/>
    <w:rsid w:val="003D3405"/>
    <w:rsid w:val="003E1CE6"/>
    <w:rsid w:val="003E5E5B"/>
    <w:rsid w:val="003F1773"/>
    <w:rsid w:val="003F4650"/>
    <w:rsid w:val="00402CF6"/>
    <w:rsid w:val="00402FC8"/>
    <w:rsid w:val="004064B4"/>
    <w:rsid w:val="00407447"/>
    <w:rsid w:val="004074C0"/>
    <w:rsid w:val="004143C0"/>
    <w:rsid w:val="00417412"/>
    <w:rsid w:val="00422EAC"/>
    <w:rsid w:val="0043301C"/>
    <w:rsid w:val="00442FE3"/>
    <w:rsid w:val="00444603"/>
    <w:rsid w:val="00446D79"/>
    <w:rsid w:val="004521DE"/>
    <w:rsid w:val="00462B3E"/>
    <w:rsid w:val="00463AFF"/>
    <w:rsid w:val="004642E2"/>
    <w:rsid w:val="0046717A"/>
    <w:rsid w:val="00472F0A"/>
    <w:rsid w:val="004763DC"/>
    <w:rsid w:val="00484DFC"/>
    <w:rsid w:val="0049385E"/>
    <w:rsid w:val="004A75A4"/>
    <w:rsid w:val="004B06CB"/>
    <w:rsid w:val="004B2960"/>
    <w:rsid w:val="004B4756"/>
    <w:rsid w:val="004B47D3"/>
    <w:rsid w:val="004B6261"/>
    <w:rsid w:val="004C41EB"/>
    <w:rsid w:val="004C48DA"/>
    <w:rsid w:val="004C6644"/>
    <w:rsid w:val="004C7E01"/>
    <w:rsid w:val="004D0526"/>
    <w:rsid w:val="004D3A26"/>
    <w:rsid w:val="004E164E"/>
    <w:rsid w:val="004E5E37"/>
    <w:rsid w:val="004E64FE"/>
    <w:rsid w:val="004F5511"/>
    <w:rsid w:val="004F7688"/>
    <w:rsid w:val="0050341D"/>
    <w:rsid w:val="00512C1A"/>
    <w:rsid w:val="005159A2"/>
    <w:rsid w:val="005203C7"/>
    <w:rsid w:val="00522770"/>
    <w:rsid w:val="00527021"/>
    <w:rsid w:val="00527EAA"/>
    <w:rsid w:val="005369AA"/>
    <w:rsid w:val="00537D9F"/>
    <w:rsid w:val="005405EB"/>
    <w:rsid w:val="0055092B"/>
    <w:rsid w:val="00553469"/>
    <w:rsid w:val="00563F5A"/>
    <w:rsid w:val="00575970"/>
    <w:rsid w:val="00577907"/>
    <w:rsid w:val="005809C6"/>
    <w:rsid w:val="00593352"/>
    <w:rsid w:val="0059676A"/>
    <w:rsid w:val="005A0AAF"/>
    <w:rsid w:val="005A0C37"/>
    <w:rsid w:val="005A267C"/>
    <w:rsid w:val="005B72DD"/>
    <w:rsid w:val="005C107D"/>
    <w:rsid w:val="005C15B1"/>
    <w:rsid w:val="005C1B45"/>
    <w:rsid w:val="005C3125"/>
    <w:rsid w:val="005C4DA7"/>
    <w:rsid w:val="005D00CE"/>
    <w:rsid w:val="005D140A"/>
    <w:rsid w:val="005D382E"/>
    <w:rsid w:val="005D429C"/>
    <w:rsid w:val="005D503A"/>
    <w:rsid w:val="005D54FC"/>
    <w:rsid w:val="005D5F79"/>
    <w:rsid w:val="005E2761"/>
    <w:rsid w:val="005E3CE9"/>
    <w:rsid w:val="005F1FD0"/>
    <w:rsid w:val="005F3574"/>
    <w:rsid w:val="005F5B2D"/>
    <w:rsid w:val="006058E2"/>
    <w:rsid w:val="006065FE"/>
    <w:rsid w:val="00614624"/>
    <w:rsid w:val="00617E48"/>
    <w:rsid w:val="00620768"/>
    <w:rsid w:val="006210D2"/>
    <w:rsid w:val="00621619"/>
    <w:rsid w:val="006238E5"/>
    <w:rsid w:val="00630D35"/>
    <w:rsid w:val="00631F1B"/>
    <w:rsid w:val="00634808"/>
    <w:rsid w:val="0063707A"/>
    <w:rsid w:val="006467D8"/>
    <w:rsid w:val="006541D7"/>
    <w:rsid w:val="00661659"/>
    <w:rsid w:val="0066313A"/>
    <w:rsid w:val="0067196A"/>
    <w:rsid w:val="0067263E"/>
    <w:rsid w:val="006737B0"/>
    <w:rsid w:val="0068253D"/>
    <w:rsid w:val="006832AD"/>
    <w:rsid w:val="0068401B"/>
    <w:rsid w:val="00687E72"/>
    <w:rsid w:val="00690322"/>
    <w:rsid w:val="00696B78"/>
    <w:rsid w:val="006A531B"/>
    <w:rsid w:val="006B1469"/>
    <w:rsid w:val="006B19BF"/>
    <w:rsid w:val="006B4EA5"/>
    <w:rsid w:val="006C4CC4"/>
    <w:rsid w:val="006C6B34"/>
    <w:rsid w:val="006D15E6"/>
    <w:rsid w:val="006E0BD3"/>
    <w:rsid w:val="006E5DDD"/>
    <w:rsid w:val="006F57AD"/>
    <w:rsid w:val="006F7693"/>
    <w:rsid w:val="00700431"/>
    <w:rsid w:val="00703F1D"/>
    <w:rsid w:val="00705521"/>
    <w:rsid w:val="00710140"/>
    <w:rsid w:val="007167F2"/>
    <w:rsid w:val="00721967"/>
    <w:rsid w:val="0072399D"/>
    <w:rsid w:val="007302E4"/>
    <w:rsid w:val="0073257A"/>
    <w:rsid w:val="00732875"/>
    <w:rsid w:val="00734890"/>
    <w:rsid w:val="0074182E"/>
    <w:rsid w:val="00743297"/>
    <w:rsid w:val="007529A5"/>
    <w:rsid w:val="00766931"/>
    <w:rsid w:val="007679D6"/>
    <w:rsid w:val="00772FE5"/>
    <w:rsid w:val="00785A96"/>
    <w:rsid w:val="00785B35"/>
    <w:rsid w:val="00785F54"/>
    <w:rsid w:val="00790F92"/>
    <w:rsid w:val="0079102C"/>
    <w:rsid w:val="00793AC7"/>
    <w:rsid w:val="007A0305"/>
    <w:rsid w:val="007A07B4"/>
    <w:rsid w:val="007A2C37"/>
    <w:rsid w:val="007A5B67"/>
    <w:rsid w:val="007A6264"/>
    <w:rsid w:val="007B6AFA"/>
    <w:rsid w:val="007B7A04"/>
    <w:rsid w:val="007C2D27"/>
    <w:rsid w:val="007C57BA"/>
    <w:rsid w:val="007D1B11"/>
    <w:rsid w:val="007E2FB0"/>
    <w:rsid w:val="007E4ED0"/>
    <w:rsid w:val="007E6283"/>
    <w:rsid w:val="007E6C51"/>
    <w:rsid w:val="007F2275"/>
    <w:rsid w:val="007F2FDD"/>
    <w:rsid w:val="007F4FFD"/>
    <w:rsid w:val="0081163C"/>
    <w:rsid w:val="008137BC"/>
    <w:rsid w:val="00814160"/>
    <w:rsid w:val="0081793B"/>
    <w:rsid w:val="00817CD6"/>
    <w:rsid w:val="00837F71"/>
    <w:rsid w:val="00840739"/>
    <w:rsid w:val="00842DC7"/>
    <w:rsid w:val="00843E49"/>
    <w:rsid w:val="00846A03"/>
    <w:rsid w:val="008555EA"/>
    <w:rsid w:val="00855B05"/>
    <w:rsid w:val="0086105C"/>
    <w:rsid w:val="00861BFA"/>
    <w:rsid w:val="00862A04"/>
    <w:rsid w:val="00866315"/>
    <w:rsid w:val="008708DB"/>
    <w:rsid w:val="0087434E"/>
    <w:rsid w:val="00877561"/>
    <w:rsid w:val="00880644"/>
    <w:rsid w:val="00883C8C"/>
    <w:rsid w:val="008851F3"/>
    <w:rsid w:val="00886521"/>
    <w:rsid w:val="008868B0"/>
    <w:rsid w:val="008872E1"/>
    <w:rsid w:val="00890CE7"/>
    <w:rsid w:val="008933D8"/>
    <w:rsid w:val="00894E6C"/>
    <w:rsid w:val="008972F8"/>
    <w:rsid w:val="008A4664"/>
    <w:rsid w:val="008B05BC"/>
    <w:rsid w:val="008B1691"/>
    <w:rsid w:val="008B45BF"/>
    <w:rsid w:val="008C09A3"/>
    <w:rsid w:val="008C23DD"/>
    <w:rsid w:val="008C4343"/>
    <w:rsid w:val="008C4830"/>
    <w:rsid w:val="008C64F1"/>
    <w:rsid w:val="008D4B69"/>
    <w:rsid w:val="008D745F"/>
    <w:rsid w:val="008E3999"/>
    <w:rsid w:val="008F0FB8"/>
    <w:rsid w:val="008F4E3E"/>
    <w:rsid w:val="008F6B46"/>
    <w:rsid w:val="00902336"/>
    <w:rsid w:val="00902393"/>
    <w:rsid w:val="00902CED"/>
    <w:rsid w:val="00907A37"/>
    <w:rsid w:val="0091257A"/>
    <w:rsid w:val="00915F0F"/>
    <w:rsid w:val="00917443"/>
    <w:rsid w:val="00917886"/>
    <w:rsid w:val="009206D3"/>
    <w:rsid w:val="009211B1"/>
    <w:rsid w:val="00933559"/>
    <w:rsid w:val="00933F10"/>
    <w:rsid w:val="00935E1E"/>
    <w:rsid w:val="009532DF"/>
    <w:rsid w:val="00953C9E"/>
    <w:rsid w:val="009819CA"/>
    <w:rsid w:val="00986649"/>
    <w:rsid w:val="00987399"/>
    <w:rsid w:val="009911B3"/>
    <w:rsid w:val="00995FB9"/>
    <w:rsid w:val="009963FA"/>
    <w:rsid w:val="00997019"/>
    <w:rsid w:val="009A21E1"/>
    <w:rsid w:val="009A38E5"/>
    <w:rsid w:val="009A4358"/>
    <w:rsid w:val="009A5029"/>
    <w:rsid w:val="009A7F68"/>
    <w:rsid w:val="009B215B"/>
    <w:rsid w:val="009B5E6F"/>
    <w:rsid w:val="009C3A13"/>
    <w:rsid w:val="009D38D5"/>
    <w:rsid w:val="009D3D37"/>
    <w:rsid w:val="009D4D68"/>
    <w:rsid w:val="009E0B03"/>
    <w:rsid w:val="009E40EE"/>
    <w:rsid w:val="009E4CC0"/>
    <w:rsid w:val="009E501E"/>
    <w:rsid w:val="009E5DC7"/>
    <w:rsid w:val="009E634C"/>
    <w:rsid w:val="009F0D5C"/>
    <w:rsid w:val="009F70E6"/>
    <w:rsid w:val="00A0513F"/>
    <w:rsid w:val="00A107BB"/>
    <w:rsid w:val="00A11A67"/>
    <w:rsid w:val="00A14658"/>
    <w:rsid w:val="00A20ADA"/>
    <w:rsid w:val="00A244E6"/>
    <w:rsid w:val="00A30CD6"/>
    <w:rsid w:val="00A33EB2"/>
    <w:rsid w:val="00A34F02"/>
    <w:rsid w:val="00A366CC"/>
    <w:rsid w:val="00A36886"/>
    <w:rsid w:val="00A41C58"/>
    <w:rsid w:val="00A41D6C"/>
    <w:rsid w:val="00A42B6F"/>
    <w:rsid w:val="00A448C3"/>
    <w:rsid w:val="00A47ABA"/>
    <w:rsid w:val="00A47FDC"/>
    <w:rsid w:val="00A53A3B"/>
    <w:rsid w:val="00A53F26"/>
    <w:rsid w:val="00A55B45"/>
    <w:rsid w:val="00A55CF9"/>
    <w:rsid w:val="00A60A05"/>
    <w:rsid w:val="00A66C91"/>
    <w:rsid w:val="00A67B92"/>
    <w:rsid w:val="00A7198D"/>
    <w:rsid w:val="00A81D50"/>
    <w:rsid w:val="00A851CF"/>
    <w:rsid w:val="00AA0CC5"/>
    <w:rsid w:val="00AA4FA8"/>
    <w:rsid w:val="00AB3312"/>
    <w:rsid w:val="00AC57A4"/>
    <w:rsid w:val="00AD74B7"/>
    <w:rsid w:val="00AF10DD"/>
    <w:rsid w:val="00AF511A"/>
    <w:rsid w:val="00AF7694"/>
    <w:rsid w:val="00B01955"/>
    <w:rsid w:val="00B01C94"/>
    <w:rsid w:val="00B11935"/>
    <w:rsid w:val="00B13E8A"/>
    <w:rsid w:val="00B16AFE"/>
    <w:rsid w:val="00B17FB3"/>
    <w:rsid w:val="00B24F10"/>
    <w:rsid w:val="00B261F4"/>
    <w:rsid w:val="00B3480F"/>
    <w:rsid w:val="00B41FBA"/>
    <w:rsid w:val="00B423F0"/>
    <w:rsid w:val="00B43968"/>
    <w:rsid w:val="00B50DBB"/>
    <w:rsid w:val="00B530CA"/>
    <w:rsid w:val="00B53863"/>
    <w:rsid w:val="00B65DD5"/>
    <w:rsid w:val="00B670A2"/>
    <w:rsid w:val="00B70394"/>
    <w:rsid w:val="00B709BC"/>
    <w:rsid w:val="00B71105"/>
    <w:rsid w:val="00B719ED"/>
    <w:rsid w:val="00B73AF1"/>
    <w:rsid w:val="00B76E41"/>
    <w:rsid w:val="00BA2FD6"/>
    <w:rsid w:val="00BA36B0"/>
    <w:rsid w:val="00BA3F4D"/>
    <w:rsid w:val="00BB538E"/>
    <w:rsid w:val="00BB58BD"/>
    <w:rsid w:val="00BB7037"/>
    <w:rsid w:val="00BC0867"/>
    <w:rsid w:val="00BC2617"/>
    <w:rsid w:val="00BC6417"/>
    <w:rsid w:val="00BD10B6"/>
    <w:rsid w:val="00BD2747"/>
    <w:rsid w:val="00BD32C9"/>
    <w:rsid w:val="00BD3442"/>
    <w:rsid w:val="00BF2C5C"/>
    <w:rsid w:val="00BF2C9C"/>
    <w:rsid w:val="00BF42E5"/>
    <w:rsid w:val="00BF4D98"/>
    <w:rsid w:val="00BF5DA1"/>
    <w:rsid w:val="00BF62D8"/>
    <w:rsid w:val="00C0391C"/>
    <w:rsid w:val="00C07076"/>
    <w:rsid w:val="00C10124"/>
    <w:rsid w:val="00C104B5"/>
    <w:rsid w:val="00C11008"/>
    <w:rsid w:val="00C12A21"/>
    <w:rsid w:val="00C13667"/>
    <w:rsid w:val="00C15054"/>
    <w:rsid w:val="00C17DF9"/>
    <w:rsid w:val="00C20890"/>
    <w:rsid w:val="00C25400"/>
    <w:rsid w:val="00C309FD"/>
    <w:rsid w:val="00C313DD"/>
    <w:rsid w:val="00C335E8"/>
    <w:rsid w:val="00C41160"/>
    <w:rsid w:val="00C43014"/>
    <w:rsid w:val="00C51538"/>
    <w:rsid w:val="00C53F8B"/>
    <w:rsid w:val="00C627B2"/>
    <w:rsid w:val="00C8055E"/>
    <w:rsid w:val="00C80C6A"/>
    <w:rsid w:val="00C830CD"/>
    <w:rsid w:val="00C858C6"/>
    <w:rsid w:val="00C8727D"/>
    <w:rsid w:val="00C94D96"/>
    <w:rsid w:val="00C95787"/>
    <w:rsid w:val="00C95F66"/>
    <w:rsid w:val="00C9639F"/>
    <w:rsid w:val="00CA0A1D"/>
    <w:rsid w:val="00CA4FDF"/>
    <w:rsid w:val="00CA6BDE"/>
    <w:rsid w:val="00CA6CC9"/>
    <w:rsid w:val="00CB00DF"/>
    <w:rsid w:val="00CB0DCA"/>
    <w:rsid w:val="00CB39E6"/>
    <w:rsid w:val="00CB700D"/>
    <w:rsid w:val="00CC068D"/>
    <w:rsid w:val="00CC0806"/>
    <w:rsid w:val="00CC28D2"/>
    <w:rsid w:val="00CD2BD2"/>
    <w:rsid w:val="00CD306E"/>
    <w:rsid w:val="00CD6223"/>
    <w:rsid w:val="00CE2A71"/>
    <w:rsid w:val="00CE3F01"/>
    <w:rsid w:val="00CE5583"/>
    <w:rsid w:val="00CE7958"/>
    <w:rsid w:val="00CF6546"/>
    <w:rsid w:val="00D03398"/>
    <w:rsid w:val="00D14F0A"/>
    <w:rsid w:val="00D21441"/>
    <w:rsid w:val="00D235F4"/>
    <w:rsid w:val="00D3357C"/>
    <w:rsid w:val="00D35F31"/>
    <w:rsid w:val="00D41DC0"/>
    <w:rsid w:val="00D43FBD"/>
    <w:rsid w:val="00D46218"/>
    <w:rsid w:val="00D46CAF"/>
    <w:rsid w:val="00D46F77"/>
    <w:rsid w:val="00D53330"/>
    <w:rsid w:val="00D5399F"/>
    <w:rsid w:val="00D552DD"/>
    <w:rsid w:val="00D70415"/>
    <w:rsid w:val="00D70CEE"/>
    <w:rsid w:val="00D72D5A"/>
    <w:rsid w:val="00D73C72"/>
    <w:rsid w:val="00D77520"/>
    <w:rsid w:val="00D834AF"/>
    <w:rsid w:val="00D84AB1"/>
    <w:rsid w:val="00D865FF"/>
    <w:rsid w:val="00D87218"/>
    <w:rsid w:val="00D87735"/>
    <w:rsid w:val="00D878F7"/>
    <w:rsid w:val="00D90118"/>
    <w:rsid w:val="00D930FF"/>
    <w:rsid w:val="00D97ACC"/>
    <w:rsid w:val="00DA0639"/>
    <w:rsid w:val="00DA71D5"/>
    <w:rsid w:val="00DB7A75"/>
    <w:rsid w:val="00DC0095"/>
    <w:rsid w:val="00DC1771"/>
    <w:rsid w:val="00DC1EB0"/>
    <w:rsid w:val="00DC235D"/>
    <w:rsid w:val="00DC5326"/>
    <w:rsid w:val="00DD41F4"/>
    <w:rsid w:val="00DE2653"/>
    <w:rsid w:val="00DE31EF"/>
    <w:rsid w:val="00DE4264"/>
    <w:rsid w:val="00DE55AA"/>
    <w:rsid w:val="00DE5AB7"/>
    <w:rsid w:val="00DE5B12"/>
    <w:rsid w:val="00DE5BF0"/>
    <w:rsid w:val="00DE7C67"/>
    <w:rsid w:val="00DF62D7"/>
    <w:rsid w:val="00E012D0"/>
    <w:rsid w:val="00E03C2A"/>
    <w:rsid w:val="00E0434A"/>
    <w:rsid w:val="00E04650"/>
    <w:rsid w:val="00E0592B"/>
    <w:rsid w:val="00E05B45"/>
    <w:rsid w:val="00E06940"/>
    <w:rsid w:val="00E11468"/>
    <w:rsid w:val="00E143C7"/>
    <w:rsid w:val="00E17D20"/>
    <w:rsid w:val="00E17DBA"/>
    <w:rsid w:val="00E23CDA"/>
    <w:rsid w:val="00E26D57"/>
    <w:rsid w:val="00E31738"/>
    <w:rsid w:val="00E33A62"/>
    <w:rsid w:val="00E34D66"/>
    <w:rsid w:val="00E40714"/>
    <w:rsid w:val="00E41823"/>
    <w:rsid w:val="00E45B53"/>
    <w:rsid w:val="00E46B05"/>
    <w:rsid w:val="00E53101"/>
    <w:rsid w:val="00E566DD"/>
    <w:rsid w:val="00E5780A"/>
    <w:rsid w:val="00E621AE"/>
    <w:rsid w:val="00E65777"/>
    <w:rsid w:val="00E71DBC"/>
    <w:rsid w:val="00E7347E"/>
    <w:rsid w:val="00E76732"/>
    <w:rsid w:val="00E828E7"/>
    <w:rsid w:val="00E83F7A"/>
    <w:rsid w:val="00E86786"/>
    <w:rsid w:val="00E93D99"/>
    <w:rsid w:val="00E9623B"/>
    <w:rsid w:val="00EA0008"/>
    <w:rsid w:val="00EA4D76"/>
    <w:rsid w:val="00EB5115"/>
    <w:rsid w:val="00EB62AF"/>
    <w:rsid w:val="00EB7752"/>
    <w:rsid w:val="00EC705C"/>
    <w:rsid w:val="00ED2F80"/>
    <w:rsid w:val="00ED790A"/>
    <w:rsid w:val="00EE282A"/>
    <w:rsid w:val="00EE34A7"/>
    <w:rsid w:val="00EE562B"/>
    <w:rsid w:val="00EE5CBC"/>
    <w:rsid w:val="00EF3759"/>
    <w:rsid w:val="00F02E65"/>
    <w:rsid w:val="00F03F5B"/>
    <w:rsid w:val="00F0456B"/>
    <w:rsid w:val="00F054FC"/>
    <w:rsid w:val="00F05CBC"/>
    <w:rsid w:val="00F0673B"/>
    <w:rsid w:val="00F1624E"/>
    <w:rsid w:val="00F318E3"/>
    <w:rsid w:val="00F32F8A"/>
    <w:rsid w:val="00F33C36"/>
    <w:rsid w:val="00F34469"/>
    <w:rsid w:val="00F57866"/>
    <w:rsid w:val="00F77D4F"/>
    <w:rsid w:val="00F810AA"/>
    <w:rsid w:val="00F83A71"/>
    <w:rsid w:val="00FA1300"/>
    <w:rsid w:val="00FA21C4"/>
    <w:rsid w:val="00FA5D36"/>
    <w:rsid w:val="00FA6762"/>
    <w:rsid w:val="00FA77AC"/>
    <w:rsid w:val="00FB42DB"/>
    <w:rsid w:val="00FB43EC"/>
    <w:rsid w:val="00FB643B"/>
    <w:rsid w:val="00FB6B40"/>
    <w:rsid w:val="00FB6DFB"/>
    <w:rsid w:val="00FC094F"/>
    <w:rsid w:val="00FC5ECC"/>
    <w:rsid w:val="00FC7A0D"/>
    <w:rsid w:val="00FD1C9B"/>
    <w:rsid w:val="00FD6132"/>
    <w:rsid w:val="00FD746C"/>
    <w:rsid w:val="00FE1997"/>
    <w:rsid w:val="00FE3D31"/>
    <w:rsid w:val="00FE4132"/>
    <w:rsid w:val="00FE4F2B"/>
    <w:rsid w:val="00FE5F01"/>
    <w:rsid w:val="00FF0316"/>
    <w:rsid w:val="00FF20B0"/>
    <w:rsid w:val="00FF4952"/>
    <w:rsid w:val="10A1358B"/>
    <w:rsid w:val="150C0E21"/>
    <w:rsid w:val="171575C0"/>
    <w:rsid w:val="1D205A38"/>
    <w:rsid w:val="1DF96BC3"/>
    <w:rsid w:val="3D6C1E29"/>
    <w:rsid w:val="41B14FA6"/>
    <w:rsid w:val="42870DEC"/>
    <w:rsid w:val="48F0738F"/>
    <w:rsid w:val="501C3E6F"/>
    <w:rsid w:val="50361DA5"/>
    <w:rsid w:val="5A406752"/>
    <w:rsid w:val="5FC3262B"/>
    <w:rsid w:val="65CD73C6"/>
    <w:rsid w:val="69F765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ody Text"/>
    <w:basedOn w:val="1"/>
    <w:link w:val="21"/>
    <w:qFormat/>
    <w:uiPriority w:val="0"/>
    <w:pPr>
      <w:widowControl/>
      <w:spacing w:after="240"/>
    </w:pPr>
    <w:rPr>
      <w:rFonts w:ascii="Times New Roman" w:hAnsi="Times New Roman" w:cs="Simplified Arabic"/>
      <w:kern w:val="0"/>
      <w:sz w:val="24"/>
      <w:szCs w:val="24"/>
      <w:lang w:val="en-GB" w:eastAsia="en-GB" w:bidi="ar-AE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10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字符"/>
    <w:basedOn w:val="10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5">
    <w:name w:val="批注框文本 字符"/>
    <w:basedOn w:val="10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批注文字 字符"/>
    <w:basedOn w:val="10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7">
    <w:name w:val="批注主题 字符"/>
    <w:basedOn w:val="16"/>
    <w:link w:val="7"/>
    <w:semiHidden/>
    <w:qFormat/>
    <w:uiPriority w:val="99"/>
    <w:rPr>
      <w:rFonts w:ascii="Calibri" w:hAnsi="Calibri" w:eastAsia="宋体" w:cs="Times New Roman"/>
      <w:b/>
      <w:bCs/>
    </w:rPr>
  </w:style>
  <w:style w:type="paragraph" w:customStyle="1" w:styleId="18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9">
    <w:name w:val="列表段落1"/>
    <w:basedOn w:val="1"/>
    <w:link w:val="20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20">
    <w:name w:val="列出段落 字符"/>
    <w:link w:val="19"/>
    <w:qFormat/>
    <w:locked/>
    <w:uiPriority w:val="34"/>
  </w:style>
  <w:style w:type="character" w:customStyle="1" w:styleId="21">
    <w:name w:val="正文文本 字符"/>
    <w:basedOn w:val="10"/>
    <w:link w:val="3"/>
    <w:qFormat/>
    <w:uiPriority w:val="0"/>
    <w:rPr>
      <w:rFonts w:ascii="Times New Roman" w:hAnsi="Times New Roman" w:eastAsia="宋体" w:cs="Simplified Arabic"/>
      <w:kern w:val="0"/>
      <w:sz w:val="24"/>
      <w:szCs w:val="24"/>
      <w:lang w:val="en-GB" w:eastAsia="en-GB" w:bidi="ar-AE"/>
    </w:rPr>
  </w:style>
  <w:style w:type="paragraph" w:customStyle="1" w:styleId="22">
    <w:name w:val="修订2"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3">
    <w:name w:val="修订3"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4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741</Words>
  <Characters>800</Characters>
  <Lines>6</Lines>
  <Paragraphs>1</Paragraphs>
  <TotalTime>4</TotalTime>
  <ScaleCrop>false</ScaleCrop>
  <LinksUpToDate>false</LinksUpToDate>
  <CharactersWithSpaces>806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2025-03-13T14:49:00Z</dcterms:created>
  <dc:creator>Yang, Luhan</dc:creator>
  <cp:lastModifiedBy> </cp:lastModifiedBy>
  <cp:lastPrinted>2024-09-24T13:51:00Z</cp:lastPrinted>
  <dcterms:modified xsi:type="dcterms:W3CDTF">2025-05-19T02:12:54Z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9A744DDA04F54B479691EEBA7FDF07FD_13</vt:lpwstr>
  </property>
  <property fmtid="{D5CDD505-2E9C-101B-9397-08002B2CF9AE}" pid="4" name="KSOTemplateDocerSaveRecord">
    <vt:lpwstr>eyJoZGlkIjoiNTRhMDlhNmZjMDhiZjlmODc2MmE1MjljZWI2YjZjYzAiLCJ1c2VySWQiOiIyNzkzMzM5MDgifQ==</vt:lpwstr>
  </property>
</Properties>
</file>