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30B74">
      <w:pPr>
        <w:widowControl/>
        <w:spacing w:after="240" w:line="594" w:lineRule="exact"/>
        <w:jc w:val="center"/>
        <w:rPr>
          <w:rFonts w:hint="eastAsia" w:ascii="黑体" w:hAnsi="黑体" w:eastAsia="黑体" w:cs="黑体"/>
          <w:bCs/>
          <w:kern w:val="0"/>
          <w:sz w:val="36"/>
          <w:szCs w:val="36"/>
          <w:lang w:val="en-GB" w:bidi="ar-AE"/>
        </w:rPr>
      </w:pPr>
      <w:r>
        <w:rPr>
          <w:rFonts w:hint="eastAsia" w:ascii="黑体" w:hAnsi="黑体" w:eastAsia="黑体" w:cs="黑体"/>
          <w:bCs/>
          <w:kern w:val="0"/>
          <w:sz w:val="36"/>
          <w:szCs w:val="36"/>
          <w:lang w:val="en-GB" w:bidi="ar-AE"/>
        </w:rPr>
        <w:t>经营者集中简易案件公示表</w:t>
      </w:r>
    </w:p>
    <w:tbl>
      <w:tblPr>
        <w:tblStyle w:val="11"/>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40B30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6" w:hRule="atLeast"/>
        </w:trPr>
        <w:tc>
          <w:tcPr>
            <w:tcW w:w="1940" w:type="dxa"/>
            <w:shd w:val="clear" w:color="auto" w:fill="D9D9D9"/>
            <w:vAlign w:val="center"/>
          </w:tcPr>
          <w:p w14:paraId="40B30B75">
            <w:pPr>
              <w:pStyle w:val="8"/>
              <w:adjustRightInd w:val="0"/>
              <w:snapToGrid w:val="0"/>
              <w:spacing w:after="0"/>
              <w:rPr>
                <w:rFonts w:hint="eastAsia" w:cs="宋体" w:asciiTheme="minorEastAsia" w:hAnsiTheme="minorEastAsia" w:eastAsiaTheme="minorEastAsia"/>
                <w:bCs/>
                <w:color w:val="000000" w:themeColor="text1"/>
                <w:lang w:val="en-US"/>
                <w14:textFill>
                  <w14:solidFill>
                    <w14:schemeClr w14:val="tx1"/>
                  </w14:solidFill>
                </w14:textFill>
              </w:rPr>
            </w:pPr>
            <w:r>
              <w:rPr>
                <w:rFonts w:hint="eastAsia" w:cs="宋体" w:asciiTheme="minorEastAsia" w:hAnsiTheme="minorEastAsia" w:eastAsiaTheme="minorEastAsia"/>
                <w:bCs/>
                <w:color w:val="000000" w:themeColor="text1"/>
                <w14:textFill>
                  <w14:solidFill>
                    <w14:schemeClr w14:val="tx1"/>
                  </w14:solidFill>
                </w14:textFill>
              </w:rPr>
              <w:t>案件名称</w:t>
            </w:r>
          </w:p>
        </w:tc>
        <w:tc>
          <w:tcPr>
            <w:tcW w:w="7700" w:type="dxa"/>
            <w:gridSpan w:val="2"/>
            <w:vAlign w:val="center"/>
          </w:tcPr>
          <w:p w14:paraId="40B30B76">
            <w:pPr>
              <w:widowControl/>
              <w:adjustRightInd w:val="0"/>
              <w:snapToGrid w:val="0"/>
              <w:rPr>
                <w:rFonts w:hint="eastAsia" w:cs="宋体" w:asciiTheme="minorEastAsia" w:hAnsiTheme="minorEastAsia" w:eastAsiaTheme="minorEastAsia"/>
                <w:bCs/>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安徽海螺水泥股份有限公司收购尧柏特种水泥集团有限公司部分业务案</w:t>
            </w:r>
          </w:p>
        </w:tc>
      </w:tr>
      <w:tr w14:paraId="40B30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14:paraId="40B30B78">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t>交易概况（限200字内）</w:t>
            </w:r>
          </w:p>
        </w:tc>
        <w:tc>
          <w:tcPr>
            <w:tcW w:w="7700" w:type="dxa"/>
            <w:gridSpan w:val="2"/>
            <w:vAlign w:val="center"/>
          </w:tcPr>
          <w:p w14:paraId="40B30B79">
            <w:pPr>
              <w:adjustRightInd w:val="0"/>
              <w:snapToGrid w:val="0"/>
              <w:rPr>
                <w:rFonts w:hint="eastAsia" w:cs="宋体" w:asciiTheme="minorEastAsia" w:hAnsiTheme="minorEastAsia" w:eastAsiaTheme="minorEastAsia"/>
                <w:bCs/>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安徽海螺水泥股份有限公司（“安徽海螺”）与尧柏特种水泥集团有限公司（“尧柏集团”）、墨玉尧柏水泥有限公司（“墨玉尧柏水泥”）等公司签署协议，安徽海螺收购伊犁尧柏水泥有限公司（“伊犁尧柏水泥”）、新疆柏航环保科技有限公司（“新疆柏航”）、霍城县南岗西鑫矿业有限责任公司（“西鑫矿业”，与伊犁尧柏水泥、新疆柏航合称“目标公司”）100%的股权，收购墨玉尧柏水泥</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有限公司</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资产</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（“目标资产1”）、墨玉尧柏建材有限公司</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资产</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（“目标资产2”）、</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和</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田尧柏水泥有限公司</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资产</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（目标资产3）、</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和</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田尧柏建材有限公司</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资产</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（“目标资产4”）</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w:t>
            </w:r>
            <w:bookmarkStart w:id="0" w:name="_GoBack"/>
            <w:bookmarkEnd w:id="0"/>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和</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田鲁新建材有限公司</w:t>
            </w:r>
            <w:r>
              <w:rPr>
                <w:rFonts w:hint="eastAsia" w:cs="宋体" w:asciiTheme="minorEastAsia" w:hAnsiTheme="minorEastAsia" w:eastAsiaTheme="minorEastAsia"/>
                <w:bCs/>
                <w:color w:val="000000" w:themeColor="text1"/>
                <w:kern w:val="0"/>
                <w:sz w:val="24"/>
                <w:lang w:eastAsia="zh-CN" w:bidi="ar-AE"/>
                <w14:textFill>
                  <w14:solidFill>
                    <w14:schemeClr w14:val="tx1"/>
                  </w14:solidFill>
                </w14:textFill>
              </w:rPr>
              <w:t>资产</w:t>
            </w: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5”，合称“目标资产”）。目标公司与目标资产主要从事通用水泥、商品混凝土、水泥窑协同处置工业固危废业务。交易前，尧柏集团持有目标公司100%的股权并单独持有目标资产，单独控制目标公司及目标资产。交易后，安徽海螺将持有目标公司100%的股权并单独持有目标资产，单独控制目标公司及目标资产。</w:t>
            </w:r>
          </w:p>
        </w:tc>
      </w:tr>
      <w:tr w14:paraId="40B30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restart"/>
            <w:shd w:val="clear" w:color="auto" w:fill="D9D9D9"/>
            <w:vAlign w:val="center"/>
          </w:tcPr>
          <w:p w14:paraId="40B30B7B">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t>参与集中的经营者简介（每个限</w:t>
            </w:r>
            <w:r>
              <w:rPr>
                <w:rFonts w:hint="eastAsia" w:cs="宋体" w:asciiTheme="minorEastAsia" w:hAnsiTheme="minorEastAsia" w:eastAsiaTheme="minorEastAsia"/>
                <w:bCs/>
                <w:color w:val="000000" w:themeColor="text1"/>
                <w:lang w:val="en-US" w:eastAsia="zh-CN"/>
                <w14:textFill>
                  <w14:solidFill>
                    <w14:schemeClr w14:val="tx1"/>
                  </w14:solidFill>
                </w14:textFill>
              </w:rPr>
              <w:t>100字以内</w:t>
            </w:r>
            <w:r>
              <w:rPr>
                <w:rFonts w:hint="eastAsia" w:cs="宋体" w:asciiTheme="minorEastAsia" w:hAnsiTheme="minorEastAsia" w:eastAsiaTheme="minorEastAsia"/>
                <w:bCs/>
                <w:color w:val="000000" w:themeColor="text1"/>
                <w:lang w:eastAsia="zh-CN"/>
                <w14:textFill>
                  <w14:solidFill>
                    <w14:schemeClr w14:val="tx1"/>
                  </w14:solidFill>
                </w14:textFill>
              </w:rPr>
              <w:t>）</w:t>
            </w:r>
          </w:p>
        </w:tc>
        <w:tc>
          <w:tcPr>
            <w:tcW w:w="1607" w:type="dxa"/>
            <w:vAlign w:val="center"/>
          </w:tcPr>
          <w:p w14:paraId="40B30B7C">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1.</w:t>
            </w:r>
            <w:r>
              <w:rPr>
                <w:rFonts w:hint="eastAsia" w:cs="宋体" w:asciiTheme="minorEastAsia" w:hAnsiTheme="minorEastAsia" w:eastAsiaTheme="minorEastAsia"/>
                <w:bCs/>
                <w:color w:val="000000" w:themeColor="text1"/>
                <w:lang w:eastAsia="zh-CN"/>
                <w14:textFill>
                  <w14:solidFill>
                    <w14:schemeClr w14:val="tx1"/>
                  </w14:solidFill>
                </w14:textFill>
              </w:rPr>
              <w:t xml:space="preserve">安徽海螺 </w:t>
            </w:r>
          </w:p>
        </w:tc>
        <w:tc>
          <w:tcPr>
            <w:tcW w:w="6093" w:type="dxa"/>
            <w:vAlign w:val="center"/>
          </w:tcPr>
          <w:p w14:paraId="40B30B7D">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安徽海螺于1997年9月1日成立于安徽省芜湖市，为香港联合交易所、上海证券交易所上市公司，主要业务为水泥、商砼、</w:t>
            </w:r>
            <w:r>
              <w:rPr>
                <w:rFonts w:hint="eastAsia" w:cs="宋体" w:asciiTheme="minorEastAsia" w:hAnsiTheme="minorEastAsia" w:eastAsiaTheme="minorEastAsia"/>
                <w:color w:val="000000" w:themeColor="text1"/>
                <w:kern w:val="0"/>
                <w:sz w:val="24"/>
                <w:lang w:bidi="ar-AE"/>
                <w14:textFill>
                  <w14:solidFill>
                    <w14:schemeClr w14:val="tx1"/>
                  </w14:solidFill>
                </w14:textFill>
              </w:rPr>
              <w:t>骨料及干混砂浆</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的生产、销售等。</w:t>
            </w:r>
          </w:p>
          <w:p w14:paraId="40B30B7E">
            <w:pPr>
              <w:widowControl/>
              <w:adjustRightInd w:val="0"/>
              <w:snapToGrid w:val="0"/>
              <w:rPr>
                <w:rFonts w:hint="eastAsia"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安徽海螺最终控制人为安徽省投资集团控股有限公司，主要业务为筹措、管理、经营本省基本建设资金、铁路建设基金、产业基金，产业投资、开发及咨询服务，资本运营等。</w:t>
            </w:r>
          </w:p>
        </w:tc>
      </w:tr>
      <w:tr w14:paraId="40B30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80">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81">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2.</w:t>
            </w:r>
            <w:r>
              <w:rPr>
                <w:rFonts w:hint="eastAsia" w:asciiTheme="minorEastAsia" w:hAnsiTheme="minorEastAsia" w:eastAsiaTheme="minorEastAsia"/>
                <w:lang w:eastAsia="zh-CN"/>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伊犁尧柏水泥</w:t>
            </w:r>
          </w:p>
        </w:tc>
        <w:tc>
          <w:tcPr>
            <w:tcW w:w="6093" w:type="dxa"/>
            <w:vAlign w:val="center"/>
          </w:tcPr>
          <w:p w14:paraId="40B30B82">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伊犁尧柏水泥于2013年1月25日成立于新疆维吾尔自治区伊犁州，主要业务为在新疆伊犁地区开展</w:t>
            </w:r>
            <w:r>
              <w:rPr>
                <w:rFonts w:hint="eastAsia" w:cs="宋体" w:asciiTheme="minorEastAsia" w:hAnsiTheme="minorEastAsia" w:eastAsiaTheme="minorEastAsia"/>
                <w:color w:val="000000" w:themeColor="text1"/>
                <w:kern w:val="0"/>
                <w:sz w:val="24"/>
                <w:lang w:bidi="ar-AE"/>
                <w14:textFill>
                  <w14:solidFill>
                    <w14:schemeClr w14:val="tx1"/>
                  </w14:solidFill>
                </w14:textFill>
              </w:rPr>
              <w:t>水泥生产与销售业务等。</w:t>
            </w:r>
          </w:p>
          <w:p w14:paraId="40B30B83">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bidi="ar-AE"/>
                <w14:textFill>
                  <w14:solidFill>
                    <w14:schemeClr w14:val="tx1"/>
                  </w14:solidFill>
                </w14:textFill>
              </w:rPr>
              <w:t>伊犁尧柏水泥最终控制人为自然人（中国籍），主要业务为水泥、建材等行业投资。</w:t>
            </w:r>
          </w:p>
        </w:tc>
      </w:tr>
      <w:tr w14:paraId="40B30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85">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86">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3.</w:t>
            </w:r>
            <w:r>
              <w:rPr>
                <w:rFonts w:hint="eastAsia" w:asciiTheme="minorEastAsia" w:hAnsiTheme="minorEastAsia" w:eastAsiaTheme="minorEastAsia"/>
                <w:lang w:eastAsia="zh-CN"/>
              </w:rPr>
              <w:t xml:space="preserve"> </w:t>
            </w:r>
            <w:r>
              <w:rPr>
                <w:rFonts w:hint="eastAsia" w:cs="宋体" w:asciiTheme="minorEastAsia" w:hAnsiTheme="minorEastAsia" w:eastAsiaTheme="minorEastAsia"/>
                <w:bCs/>
                <w:color w:val="000000" w:themeColor="text1"/>
                <w:lang w:val="en-US" w:eastAsia="zh-CN"/>
                <w14:textFill>
                  <w14:solidFill>
                    <w14:schemeClr w14:val="tx1"/>
                  </w14:solidFill>
                </w14:textFill>
              </w:rPr>
              <w:t>新疆柏航</w:t>
            </w:r>
          </w:p>
        </w:tc>
        <w:tc>
          <w:tcPr>
            <w:tcW w:w="6093" w:type="dxa"/>
            <w:vAlign w:val="center"/>
          </w:tcPr>
          <w:p w14:paraId="40B30B87">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val="en-GB" w:bidi="ar-AE"/>
                <w14:textFill>
                  <w14:solidFill>
                    <w14:schemeClr w14:val="tx1"/>
                  </w14:solidFill>
                </w14:textFill>
              </w:rPr>
              <w:t>新疆柏航于2019年8月15日成立于</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新疆维吾尔自治区伊犁州，主要业务为在新疆伊犁地区开展</w:t>
            </w:r>
            <w:r>
              <w:rPr>
                <w:rFonts w:hint="eastAsia" w:cs="宋体" w:asciiTheme="minorEastAsia" w:hAnsiTheme="minorEastAsia" w:eastAsiaTheme="minorEastAsia"/>
                <w:color w:val="000000" w:themeColor="text1"/>
                <w:kern w:val="0"/>
                <w:sz w:val="24"/>
                <w:lang w:bidi="ar-AE"/>
                <w14:textFill>
                  <w14:solidFill>
                    <w14:schemeClr w14:val="tx1"/>
                  </w14:solidFill>
                </w14:textFill>
              </w:rPr>
              <w:t>水泥窑协同处置工业固废危废业务等。</w:t>
            </w:r>
          </w:p>
          <w:p w14:paraId="40B30B88">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bidi="ar-AE"/>
                <w14:textFill>
                  <w14:solidFill>
                    <w14:schemeClr w14:val="tx1"/>
                  </w14:solidFill>
                </w14:textFill>
              </w:rPr>
              <w:t>新疆柏航最终控制人为自然人（中国籍），主要业务为水泥、建材等行业投资。</w:t>
            </w:r>
          </w:p>
        </w:tc>
      </w:tr>
      <w:tr w14:paraId="40B3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8A">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8B">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4.</w:t>
            </w:r>
            <w:r>
              <w:rPr>
                <w:rFonts w:hint="eastAsia" w:asciiTheme="minorEastAsia" w:hAnsiTheme="minorEastAsia" w:eastAsiaTheme="minorEastAsia"/>
                <w:lang w:eastAsia="zh-CN"/>
              </w:rPr>
              <w:t xml:space="preserve"> </w:t>
            </w:r>
            <w:r>
              <w:rPr>
                <w:rFonts w:hint="eastAsia" w:cs="宋体" w:asciiTheme="minorEastAsia" w:hAnsiTheme="minorEastAsia" w:eastAsiaTheme="minorEastAsia"/>
                <w:bCs/>
                <w:color w:val="000000" w:themeColor="text1"/>
                <w:lang w:val="en-US" w:eastAsia="zh-CN"/>
                <w14:textFill>
                  <w14:solidFill>
                    <w14:schemeClr w14:val="tx1"/>
                  </w14:solidFill>
                </w14:textFill>
              </w:rPr>
              <w:t>西鑫矿业</w:t>
            </w:r>
          </w:p>
        </w:tc>
        <w:tc>
          <w:tcPr>
            <w:tcW w:w="6093" w:type="dxa"/>
            <w:vAlign w:val="center"/>
          </w:tcPr>
          <w:p w14:paraId="40B30B8C">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西鑫矿业于2007年9月21日成立于</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新疆维吾尔自治区伊犁州，主要业务为在新疆伊犁地区开展</w:t>
            </w:r>
            <w:r>
              <w:rPr>
                <w:rFonts w:hint="eastAsia" w:cs="宋体" w:asciiTheme="minorEastAsia" w:hAnsiTheme="minorEastAsia" w:eastAsiaTheme="minorEastAsia"/>
                <w:color w:val="000000" w:themeColor="text1"/>
                <w:kern w:val="0"/>
                <w:sz w:val="24"/>
                <w:lang w:bidi="ar-AE"/>
                <w14:textFill>
                  <w14:solidFill>
                    <w14:schemeClr w14:val="tx1"/>
                  </w14:solidFill>
                </w14:textFill>
              </w:rPr>
              <w:t>石灰石的开采、加工及供应业务等。</w:t>
            </w:r>
          </w:p>
          <w:p w14:paraId="40B30B8D">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bidi="ar-AE"/>
                <w14:textFill>
                  <w14:solidFill>
                    <w14:schemeClr w14:val="tx1"/>
                  </w14:solidFill>
                </w14:textFill>
              </w:rPr>
              <w:t>西鑫矿业最终控制人为自然人（中国籍），主要业务为水泥、建材等行业投资。</w:t>
            </w:r>
          </w:p>
        </w:tc>
      </w:tr>
      <w:tr w14:paraId="40B30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40" w:type="dxa"/>
            <w:vMerge w:val="continue"/>
            <w:shd w:val="clear" w:color="auto" w:fill="D9D9D9"/>
            <w:vAlign w:val="center"/>
          </w:tcPr>
          <w:p w14:paraId="40B30B8F">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90">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5.目标资产1</w:t>
            </w:r>
          </w:p>
        </w:tc>
        <w:tc>
          <w:tcPr>
            <w:tcW w:w="6093" w:type="dxa"/>
            <w:vAlign w:val="center"/>
          </w:tcPr>
          <w:p w14:paraId="40B30B91">
            <w:pPr>
              <w:widowControl/>
              <w:adjustRightInd w:val="0"/>
              <w:snapToGrid w:val="0"/>
              <w:rPr>
                <w:rFonts w:hint="eastAsia" w:cs="宋体" w:asciiTheme="minorEastAsia" w:hAnsiTheme="minorEastAsia" w:eastAsiaTheme="minorEastAsia"/>
                <w:color w:val="000000" w:themeColor="text1"/>
                <w:kern w:val="0"/>
                <w:sz w:val="24"/>
                <w:lang w:val="en-GB"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目标资产1</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主要业务为在和田、喀什地区开展水泥及相关产品的生产与销售业务等。</w:t>
            </w:r>
          </w:p>
          <w:p w14:paraId="40B30B92">
            <w:pPr>
              <w:widowControl/>
              <w:adjustRightInd w:val="0"/>
              <w:snapToGrid w:val="0"/>
              <w:rPr>
                <w:rFonts w:hint="eastAsia" w:cs="宋体" w:asciiTheme="minorEastAsia" w:hAnsiTheme="minorEastAsia" w:eastAsiaTheme="minorEastAsia"/>
                <w:bCs/>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目标资产1</w:t>
            </w:r>
            <w:r>
              <w:rPr>
                <w:rFonts w:hint="eastAsia" w:cs="宋体" w:asciiTheme="minorEastAsia" w:hAnsiTheme="minorEastAsia" w:eastAsiaTheme="minorEastAsia"/>
                <w:color w:val="000000" w:themeColor="text1"/>
                <w:kern w:val="0"/>
                <w:sz w:val="24"/>
                <w:lang w:bidi="ar-AE"/>
                <w14:textFill>
                  <w14:solidFill>
                    <w14:schemeClr w14:val="tx1"/>
                  </w14:solidFill>
                </w14:textFill>
              </w:rPr>
              <w:t>最终控制人为自然人（中国籍），主要业务为水泥、建材等行业投资。</w:t>
            </w:r>
          </w:p>
        </w:tc>
      </w:tr>
      <w:tr w14:paraId="40B3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94">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95">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6.目标资产2</w:t>
            </w:r>
          </w:p>
        </w:tc>
        <w:tc>
          <w:tcPr>
            <w:tcW w:w="6093" w:type="dxa"/>
            <w:vAlign w:val="center"/>
          </w:tcPr>
          <w:p w14:paraId="40B30B96">
            <w:pPr>
              <w:widowControl/>
              <w:adjustRightInd w:val="0"/>
              <w:snapToGrid w:val="0"/>
              <w:rPr>
                <w:rFonts w:hint="eastAsia" w:cs="宋体" w:asciiTheme="minorEastAsia" w:hAnsiTheme="minorEastAsia" w:eastAsiaTheme="minorEastAsia"/>
                <w:color w:val="000000" w:themeColor="text1"/>
                <w:kern w:val="0"/>
                <w:sz w:val="24"/>
                <w:lang w:val="en-GB"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目标资产</w:t>
            </w:r>
            <w:r>
              <w:rPr>
                <w:rFonts w:hint="eastAsia" w:cs="宋体" w:asciiTheme="minorEastAsia" w:hAnsiTheme="minorEastAsia" w:eastAsiaTheme="minorEastAsia"/>
                <w:color w:val="000000" w:themeColor="text1"/>
                <w:kern w:val="0"/>
                <w:sz w:val="24"/>
                <w:lang w:bidi="ar-AE"/>
                <w14:textFill>
                  <w14:solidFill>
                    <w14:schemeClr w14:val="tx1"/>
                  </w14:solidFill>
                </w14:textFill>
              </w:rPr>
              <w:t>2</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主要业务为在新疆和田地区开展商品混凝土的生产与销售业务等。</w:t>
            </w:r>
          </w:p>
          <w:p w14:paraId="40B30B97">
            <w:pPr>
              <w:widowControl/>
              <w:adjustRightInd w:val="0"/>
              <w:snapToGrid w:val="0"/>
              <w:rPr>
                <w:rFonts w:hint="eastAsia" w:cs="宋体" w:asciiTheme="minorEastAsia" w:hAnsiTheme="minorEastAsia" w:eastAsiaTheme="minorEastAsia"/>
                <w:color w:val="000000" w:themeColor="text1"/>
                <w:kern w:val="0"/>
                <w:sz w:val="24"/>
                <w:lang w:val="en-GB" w:bidi="ar-AE"/>
                <w14:textFill>
                  <w14:solidFill>
                    <w14:schemeClr w14:val="tx1"/>
                  </w14:solidFill>
                </w14:textFill>
              </w:rPr>
            </w:pPr>
            <w:r>
              <w:rPr>
                <w:rFonts w:hint="eastAsia" w:cs="宋体" w:asciiTheme="minorEastAsia" w:hAnsiTheme="minorEastAsia" w:eastAsiaTheme="minorEastAsia"/>
                <w:color w:val="000000" w:themeColor="text1"/>
                <w:kern w:val="0"/>
                <w:sz w:val="24"/>
                <w:lang w:bidi="ar-AE"/>
                <w14:textFill>
                  <w14:solidFill>
                    <w14:schemeClr w14:val="tx1"/>
                  </w14:solidFill>
                </w14:textFill>
              </w:rPr>
              <w:t>目标资产2最终控制人为自然人（中国籍），主要业务为水泥、建材等行业投资。</w:t>
            </w:r>
          </w:p>
        </w:tc>
      </w:tr>
      <w:tr w14:paraId="40B30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99">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9A">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7.目标资产3</w:t>
            </w:r>
          </w:p>
        </w:tc>
        <w:tc>
          <w:tcPr>
            <w:tcW w:w="6093" w:type="dxa"/>
            <w:vAlign w:val="center"/>
          </w:tcPr>
          <w:p w14:paraId="40B30B9B">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目标资产3</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主要业务为在新疆和田、喀什地区开展</w:t>
            </w:r>
            <w:r>
              <w:rPr>
                <w:rFonts w:hint="eastAsia" w:cs="宋体" w:asciiTheme="minorEastAsia" w:hAnsiTheme="minorEastAsia" w:eastAsiaTheme="minorEastAsia"/>
                <w:color w:val="000000" w:themeColor="text1"/>
                <w:kern w:val="0"/>
                <w:sz w:val="24"/>
                <w:lang w:bidi="ar-AE"/>
                <w14:textFill>
                  <w14:solidFill>
                    <w14:schemeClr w14:val="tx1"/>
                  </w14:solidFill>
                </w14:textFill>
              </w:rPr>
              <w:t>水泥及相关产品的生产和销售业务等。</w:t>
            </w:r>
          </w:p>
          <w:p w14:paraId="40B30B9C">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bCs/>
                <w:color w:val="000000" w:themeColor="text1"/>
                <w:kern w:val="0"/>
                <w:sz w:val="24"/>
                <w:lang w:bidi="ar-AE"/>
                <w14:textFill>
                  <w14:solidFill>
                    <w14:schemeClr w14:val="tx1"/>
                  </w14:solidFill>
                </w14:textFill>
              </w:rPr>
              <w:t>目标资产3</w:t>
            </w:r>
            <w:r>
              <w:rPr>
                <w:rFonts w:hint="eastAsia" w:cs="宋体" w:asciiTheme="minorEastAsia" w:hAnsiTheme="minorEastAsia" w:eastAsiaTheme="minorEastAsia"/>
                <w:color w:val="000000" w:themeColor="text1"/>
                <w:kern w:val="0"/>
                <w:sz w:val="24"/>
                <w:lang w:bidi="ar-AE"/>
                <w14:textFill>
                  <w14:solidFill>
                    <w14:schemeClr w14:val="tx1"/>
                  </w14:solidFill>
                </w14:textFill>
              </w:rPr>
              <w:t>最终控制人为自然人（中国籍），主要业务为水泥、建材等行业投资。</w:t>
            </w:r>
          </w:p>
        </w:tc>
      </w:tr>
      <w:tr w14:paraId="40B30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4" w:hRule="atLeast"/>
        </w:trPr>
        <w:tc>
          <w:tcPr>
            <w:tcW w:w="1940" w:type="dxa"/>
            <w:vMerge w:val="continue"/>
            <w:shd w:val="clear" w:color="auto" w:fill="D9D9D9"/>
            <w:vAlign w:val="center"/>
          </w:tcPr>
          <w:p w14:paraId="40B30B9E">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9F">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8.</w:t>
            </w:r>
            <w:r>
              <w:rPr>
                <w:rFonts w:hint="eastAsia" w:cs="宋体" w:asciiTheme="minorEastAsia" w:hAnsiTheme="minorEastAsia" w:eastAsiaTheme="minorEastAsia"/>
                <w:color w:val="000000" w:themeColor="text1"/>
                <w14:textFill>
                  <w14:solidFill>
                    <w14:schemeClr w14:val="tx1"/>
                  </w14:solidFill>
                </w14:textFill>
              </w:rPr>
              <w:t>目标资产</w:t>
            </w:r>
            <w:r>
              <w:rPr>
                <w:rFonts w:hint="eastAsia" w:cs="宋体" w:asciiTheme="minorEastAsia" w:hAnsiTheme="minorEastAsia" w:eastAsiaTheme="minorEastAsia"/>
                <w:color w:val="000000" w:themeColor="text1"/>
                <w:lang w:val="en-US" w:eastAsia="zh-CN"/>
                <w14:textFill>
                  <w14:solidFill>
                    <w14:schemeClr w14:val="tx1"/>
                  </w14:solidFill>
                </w14:textFill>
              </w:rPr>
              <w:t>4</w:t>
            </w:r>
          </w:p>
        </w:tc>
        <w:tc>
          <w:tcPr>
            <w:tcW w:w="6093" w:type="dxa"/>
            <w:vAlign w:val="center"/>
          </w:tcPr>
          <w:p w14:paraId="40B30BA0">
            <w:pPr>
              <w:widowControl/>
              <w:adjustRightInd w:val="0"/>
              <w:snapToGrid w:val="0"/>
              <w:rPr>
                <w:rFonts w:hint="eastAsia" w:cs="宋体" w:asciiTheme="minorEastAsia" w:hAnsiTheme="minorEastAsia" w:eastAsiaTheme="minorEastAsia"/>
                <w:color w:val="000000" w:themeColor="text1"/>
                <w:kern w:val="0"/>
                <w:sz w:val="24"/>
                <w:lang w:val="en-GB"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目标资产</w:t>
            </w:r>
            <w:r>
              <w:rPr>
                <w:rFonts w:hint="eastAsia" w:cs="宋体" w:asciiTheme="minorEastAsia" w:hAnsiTheme="minorEastAsia" w:eastAsiaTheme="minorEastAsia"/>
                <w:color w:val="000000" w:themeColor="text1"/>
                <w:kern w:val="0"/>
                <w:sz w:val="24"/>
                <w:lang w:bidi="ar-AE"/>
                <w14:textFill>
                  <w14:solidFill>
                    <w14:schemeClr w14:val="tx1"/>
                  </w14:solidFill>
                </w14:textFill>
              </w:rPr>
              <w:t>4</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主要业务为在新疆和田地区开展商品混凝土的生产与销售业务等。</w:t>
            </w:r>
          </w:p>
          <w:p w14:paraId="40B30BA1">
            <w:pPr>
              <w:widowControl/>
              <w:adjustRightInd w:val="0"/>
              <w:snapToGrid w:val="0"/>
              <w:rPr>
                <w:rFonts w:hint="eastAsia" w:cs="宋体" w:asciiTheme="minorEastAsia" w:hAnsiTheme="minorEastAsia" w:eastAsiaTheme="minorEastAsia"/>
                <w:bCs/>
                <w:color w:val="000000" w:themeColor="text1"/>
                <w:kern w:val="0"/>
                <w:sz w:val="24"/>
                <w:lang w:val="en-GB"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目标资产</w:t>
            </w:r>
            <w:r>
              <w:rPr>
                <w:rFonts w:hint="eastAsia" w:cs="宋体" w:asciiTheme="minorEastAsia" w:hAnsiTheme="minorEastAsia" w:eastAsiaTheme="minorEastAsia"/>
                <w:color w:val="000000" w:themeColor="text1"/>
                <w:kern w:val="0"/>
                <w:sz w:val="24"/>
                <w:lang w:bidi="ar-AE"/>
                <w14:textFill>
                  <w14:solidFill>
                    <w14:schemeClr w14:val="tx1"/>
                  </w14:solidFill>
                </w14:textFill>
              </w:rPr>
              <w:t>4最终控制人为自然人（中国籍），主要业务为水泥、建材等行业投资。</w:t>
            </w:r>
          </w:p>
        </w:tc>
      </w:tr>
      <w:tr w14:paraId="40B30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40B30BA3">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1607" w:type="dxa"/>
            <w:vAlign w:val="center"/>
          </w:tcPr>
          <w:p w14:paraId="40B30BA4">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9.</w:t>
            </w:r>
            <w:r>
              <w:rPr>
                <w:rFonts w:hint="eastAsia" w:cs="宋体" w:asciiTheme="minorEastAsia" w:hAnsiTheme="minorEastAsia" w:eastAsiaTheme="minorEastAsia"/>
                <w:color w:val="000000" w:themeColor="text1"/>
                <w14:textFill>
                  <w14:solidFill>
                    <w14:schemeClr w14:val="tx1"/>
                  </w14:solidFill>
                </w14:textFill>
              </w:rPr>
              <w:t>目标资产</w:t>
            </w:r>
            <w:r>
              <w:rPr>
                <w:rFonts w:hint="eastAsia" w:cs="宋体" w:asciiTheme="minorEastAsia" w:hAnsiTheme="minorEastAsia" w:eastAsiaTheme="minorEastAsia"/>
                <w:color w:val="000000" w:themeColor="text1"/>
                <w:lang w:val="en-US" w:eastAsia="zh-CN"/>
                <w14:textFill>
                  <w14:solidFill>
                    <w14:schemeClr w14:val="tx1"/>
                  </w14:solidFill>
                </w14:textFill>
              </w:rPr>
              <w:t>5</w:t>
            </w:r>
          </w:p>
        </w:tc>
        <w:tc>
          <w:tcPr>
            <w:tcW w:w="6093" w:type="dxa"/>
            <w:vAlign w:val="center"/>
          </w:tcPr>
          <w:p w14:paraId="40B30BA5">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目标资产</w:t>
            </w:r>
            <w:r>
              <w:rPr>
                <w:rFonts w:hint="eastAsia" w:cs="宋体" w:asciiTheme="minorEastAsia" w:hAnsiTheme="minorEastAsia" w:eastAsiaTheme="minorEastAsia"/>
                <w:color w:val="000000" w:themeColor="text1"/>
                <w:kern w:val="0"/>
                <w:sz w:val="24"/>
                <w:lang w:bidi="ar-AE"/>
                <w14:textFill>
                  <w14:solidFill>
                    <w14:schemeClr w14:val="tx1"/>
                  </w14:solidFill>
                </w14:textFill>
              </w:rPr>
              <w:t>5</w:t>
            </w: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主要业务为在</w:t>
            </w:r>
            <w:r>
              <w:rPr>
                <w:rFonts w:hint="eastAsia" w:cs="宋体" w:asciiTheme="minorEastAsia" w:hAnsiTheme="minorEastAsia" w:eastAsiaTheme="minorEastAsia"/>
                <w:color w:val="000000" w:themeColor="text1"/>
                <w:kern w:val="0"/>
                <w:sz w:val="24"/>
                <w:lang w:bidi="ar-AE"/>
                <w14:textFill>
                  <w14:solidFill>
                    <w14:schemeClr w14:val="tx1"/>
                  </w14:solidFill>
                </w14:textFill>
              </w:rPr>
              <w:t>新疆和田、喀什地区开展水泥生产和销售业务。</w:t>
            </w:r>
          </w:p>
          <w:p w14:paraId="40B30BA6">
            <w:pPr>
              <w:widowControl/>
              <w:adjustRightInd w:val="0"/>
              <w:snapToGrid w:val="0"/>
              <w:rPr>
                <w:rFonts w:hint="eastAsia" w:cs="宋体" w:asciiTheme="minorEastAsia" w:hAnsiTheme="minorEastAsia" w:eastAsiaTheme="minorEastAsia"/>
                <w:color w:val="000000" w:themeColor="text1"/>
                <w:kern w:val="0"/>
                <w:sz w:val="24"/>
                <w:lang w:bidi="ar-AE"/>
                <w14:textFill>
                  <w14:solidFill>
                    <w14:schemeClr w14:val="tx1"/>
                  </w14:solidFill>
                </w14:textFill>
              </w:rPr>
            </w:pPr>
            <w:r>
              <w:rPr>
                <w:rFonts w:hint="eastAsia" w:cs="宋体" w:asciiTheme="minorEastAsia" w:hAnsiTheme="minorEastAsia" w:eastAsiaTheme="minorEastAsia"/>
                <w:color w:val="000000" w:themeColor="text1"/>
                <w:kern w:val="0"/>
                <w:sz w:val="24"/>
                <w:lang w:val="en-GB" w:bidi="ar-AE"/>
                <w14:textFill>
                  <w14:solidFill>
                    <w14:schemeClr w14:val="tx1"/>
                  </w14:solidFill>
                </w14:textFill>
              </w:rPr>
              <w:t>目标资产</w:t>
            </w:r>
            <w:r>
              <w:rPr>
                <w:rFonts w:hint="eastAsia" w:cs="宋体" w:asciiTheme="minorEastAsia" w:hAnsiTheme="minorEastAsia" w:eastAsiaTheme="minorEastAsia"/>
                <w:color w:val="000000" w:themeColor="text1"/>
                <w:kern w:val="0"/>
                <w:sz w:val="24"/>
                <w:lang w:bidi="ar-AE"/>
                <w14:textFill>
                  <w14:solidFill>
                    <w14:schemeClr w14:val="tx1"/>
                  </w14:solidFill>
                </w14:textFill>
              </w:rPr>
              <w:t>5最终控制人为自然人（中国籍），主要业务为水泥、建材等行业投资。</w:t>
            </w:r>
          </w:p>
        </w:tc>
      </w:tr>
      <w:tr w14:paraId="40B3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14:paraId="40B30BA8">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t>简易案件理由（可以单选，也可以多选）</w:t>
            </w:r>
          </w:p>
        </w:tc>
        <w:tc>
          <w:tcPr>
            <w:tcW w:w="7700" w:type="dxa"/>
            <w:gridSpan w:val="2"/>
            <w:vAlign w:val="center"/>
          </w:tcPr>
          <w:p w14:paraId="40B30BA9">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A8"/>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1.</w:t>
            </w:r>
            <w:r>
              <w:rPr>
                <w:rFonts w:hint="eastAsia" w:asciiTheme="minorEastAsia" w:hAnsiTheme="minorEastAsia" w:eastAsiaTheme="minorEastAsia"/>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在同一相关市场，参与集中的经营者所占的市场份额之和小于15%。</w:t>
            </w:r>
          </w:p>
        </w:tc>
      </w:tr>
      <w:tr w14:paraId="40B30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14:paraId="40B30BAB">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7700" w:type="dxa"/>
            <w:gridSpan w:val="2"/>
            <w:vAlign w:val="center"/>
          </w:tcPr>
          <w:p w14:paraId="40B30BAC">
            <w:pPr>
              <w:pStyle w:val="8"/>
              <w:adjustRightInd w:val="0"/>
              <w:snapToGrid w:val="0"/>
              <w:spacing w:after="0"/>
              <w:rPr>
                <w:rFonts w:hint="eastAsia" w:cs="宋体" w:asciiTheme="minorEastAsia" w:hAnsiTheme="minorEastAsia" w:eastAsiaTheme="minorEastAsia"/>
                <w:bCs/>
                <w:color w:val="000000" w:themeColor="text1"/>
                <w:lang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A8"/>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2.</w:t>
            </w:r>
            <w:r>
              <w:rPr>
                <w:rFonts w:cs="宋体" w:asciiTheme="minorEastAsia" w:hAnsiTheme="minorEastAsia" w:eastAsiaTheme="minorEastAsia"/>
                <w:bCs/>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在上下游市场，参与集中的经营者所占的市场份额均小于25%。</w:t>
            </w:r>
          </w:p>
        </w:tc>
      </w:tr>
      <w:tr w14:paraId="40B30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14:paraId="40B30BAE">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7700" w:type="dxa"/>
            <w:gridSpan w:val="2"/>
            <w:vAlign w:val="center"/>
          </w:tcPr>
          <w:p w14:paraId="40B30BAF">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FE"/>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3.</w:t>
            </w:r>
            <w:r>
              <w:rPr>
                <w:rFonts w:cs="宋体" w:asciiTheme="minorEastAsia" w:hAnsiTheme="minorEastAsia" w:eastAsiaTheme="minorEastAsia"/>
                <w:bCs/>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不在同一相关市场</w:t>
            </w:r>
            <w:r>
              <w:rPr>
                <w:rFonts w:hint="eastAsia" w:cs="宋体" w:asciiTheme="minorEastAsia" w:hAnsiTheme="minorEastAsia" w:eastAsiaTheme="minorEastAsia"/>
                <w:bCs/>
                <w:color w:val="000000" w:themeColor="text1"/>
                <w:lang w:val="en-US" w:eastAsia="zh-CN"/>
                <w14:textFill>
                  <w14:solidFill>
                    <w14:schemeClr w14:val="tx1"/>
                  </w14:solidFill>
                </w14:textFill>
              </w:rPr>
              <w:t>、</w:t>
            </w:r>
            <w:r>
              <w:rPr>
                <w:rFonts w:hint="eastAsia" w:cs="宋体" w:asciiTheme="minorEastAsia" w:hAnsiTheme="minorEastAsia" w:eastAsiaTheme="minorEastAsia"/>
                <w:bCs/>
                <w:color w:val="000000" w:themeColor="text1"/>
                <w:lang w:eastAsia="zh-CN"/>
                <w14:textFill>
                  <w14:solidFill>
                    <w14:schemeClr w14:val="tx1"/>
                  </w14:solidFill>
                </w14:textFill>
              </w:rPr>
              <w:t>也不存在上下游关系的参与集中的经营者，在与交易有关的每个市场所占的市场份额均小于25%。</w:t>
            </w:r>
          </w:p>
        </w:tc>
      </w:tr>
      <w:tr w14:paraId="40B30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40" w:type="dxa"/>
            <w:vMerge w:val="continue"/>
            <w:shd w:val="clear" w:color="auto" w:fill="D9D9D9"/>
            <w:vAlign w:val="center"/>
          </w:tcPr>
          <w:p w14:paraId="40B30BB1">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7700" w:type="dxa"/>
            <w:gridSpan w:val="2"/>
            <w:vAlign w:val="center"/>
          </w:tcPr>
          <w:p w14:paraId="40B30BB2">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A8"/>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4.</w:t>
            </w:r>
            <w:r>
              <w:rPr>
                <w:rFonts w:cs="宋体" w:asciiTheme="minorEastAsia" w:hAnsiTheme="minorEastAsia" w:eastAsiaTheme="minorEastAsia"/>
                <w:bCs/>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参与集中的经营者在中国境外设立合营企业，合营企业不在中国境内从事经济活动。</w:t>
            </w:r>
          </w:p>
        </w:tc>
      </w:tr>
      <w:tr w14:paraId="40B30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14:paraId="40B30BB4">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7700" w:type="dxa"/>
            <w:gridSpan w:val="2"/>
            <w:vAlign w:val="center"/>
          </w:tcPr>
          <w:p w14:paraId="40B30BB5">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A8"/>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5.</w:t>
            </w:r>
            <w:r>
              <w:rPr>
                <w:rFonts w:cs="宋体" w:asciiTheme="minorEastAsia" w:hAnsiTheme="minorEastAsia" w:eastAsiaTheme="minorEastAsia"/>
                <w:bCs/>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参与集中的经营者收购境外企业股权或资产的，该境外企业不在中国境内从事经济活动。</w:t>
            </w:r>
          </w:p>
        </w:tc>
      </w:tr>
      <w:tr w14:paraId="40B30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14:paraId="40B30BB7">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p>
        </w:tc>
        <w:tc>
          <w:tcPr>
            <w:tcW w:w="7700" w:type="dxa"/>
            <w:gridSpan w:val="2"/>
            <w:vAlign w:val="center"/>
          </w:tcPr>
          <w:p w14:paraId="40B30BB8">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sym w:font="Wingdings" w:char="00A8"/>
            </w:r>
            <w:r>
              <w:rPr>
                <w:rFonts w:hint="eastAsia" w:cs="宋体" w:asciiTheme="minorEastAsia" w:hAnsiTheme="minorEastAsia" w:eastAsiaTheme="minorEastAsia"/>
                <w:bCs/>
                <w:color w:val="000000" w:themeColor="text1"/>
                <w:lang w:eastAsia="zh-CN"/>
                <w14:textFill>
                  <w14:solidFill>
                    <w14:schemeClr w14:val="tx1"/>
                  </w14:solidFill>
                </w14:textFill>
              </w:rPr>
              <w:t xml:space="preserve"> 6.</w:t>
            </w:r>
            <w:r>
              <w:rPr>
                <w:rFonts w:cs="宋体" w:asciiTheme="minorEastAsia" w:hAnsiTheme="minorEastAsia" w:eastAsiaTheme="minorEastAsia"/>
                <w:bCs/>
                <w:color w:val="000000" w:themeColor="text1"/>
                <w:lang w:eastAsia="zh-CN"/>
                <w14:textFill>
                  <w14:solidFill>
                    <w14:schemeClr w14:val="tx1"/>
                  </w14:solidFill>
                </w14:textFill>
              </w:rPr>
              <w:t xml:space="preserve"> </w:t>
            </w:r>
            <w:r>
              <w:rPr>
                <w:rFonts w:hint="eastAsia" w:cs="宋体" w:asciiTheme="minorEastAsia" w:hAnsiTheme="minorEastAsia" w:eastAsiaTheme="minorEastAsia"/>
                <w:bCs/>
                <w:color w:val="000000" w:themeColor="text1"/>
                <w:lang w:eastAsia="zh-CN"/>
                <w14:textFill>
                  <w14:solidFill>
                    <w14:schemeClr w14:val="tx1"/>
                  </w14:solidFill>
                </w14:textFill>
              </w:rPr>
              <w:t>由两个以上的经营者共同控制的合营企业，通过集中被其中一个或一个以上经营者控制。</w:t>
            </w:r>
          </w:p>
        </w:tc>
      </w:tr>
      <w:tr w14:paraId="40B30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940" w:type="dxa"/>
            <w:shd w:val="clear" w:color="auto" w:fill="D9D9D9"/>
            <w:vAlign w:val="center"/>
          </w:tcPr>
          <w:p w14:paraId="40B30BBA">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备注</w:t>
            </w:r>
          </w:p>
        </w:tc>
        <w:tc>
          <w:tcPr>
            <w:tcW w:w="7700" w:type="dxa"/>
            <w:gridSpan w:val="2"/>
            <w:vAlign w:val="center"/>
          </w:tcPr>
          <w:p w14:paraId="40B30BBB">
            <w:pPr>
              <w:pStyle w:val="8"/>
              <w:adjustRightInd w:val="0"/>
              <w:snapToGrid w:val="0"/>
              <w:spacing w:after="0"/>
              <w:rPr>
                <w:rFonts w:hint="eastAsia" w:cs="宋体" w:asciiTheme="minorEastAsia" w:hAnsiTheme="minorEastAsia" w:eastAsiaTheme="minorEastAsia"/>
                <w:b/>
                <w:color w:val="000000" w:themeColor="text1"/>
                <w:lang w:eastAsia="zh-CN"/>
                <w14:textFill>
                  <w14:solidFill>
                    <w14:schemeClr w14:val="tx1"/>
                  </w14:solidFill>
                </w14:textFill>
              </w:rPr>
            </w:pPr>
            <w:r>
              <w:rPr>
                <w:rFonts w:hint="eastAsia" w:cs="宋体" w:asciiTheme="minorEastAsia" w:hAnsiTheme="minorEastAsia" w:eastAsiaTheme="minorEastAsia"/>
                <w:b/>
                <w:color w:val="000000" w:themeColor="text1"/>
                <w:lang w:eastAsia="zh-CN"/>
                <w14:textFill>
                  <w14:solidFill>
                    <w14:schemeClr w14:val="tx1"/>
                  </w14:solidFill>
                </w14:textFill>
              </w:rPr>
              <w:t>混合集中：</w:t>
            </w:r>
          </w:p>
          <w:p w14:paraId="40B30BBC">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eastAsia="zh-CN"/>
                <w14:textFill>
                  <w14:solidFill>
                    <w14:schemeClr w14:val="tx1"/>
                  </w14:solidFill>
                </w14:textFill>
              </w:rPr>
              <w:t>2024年新疆</w:t>
            </w:r>
            <w:r>
              <w:rPr>
                <w:rFonts w:hint="eastAsia" w:cs="宋体" w:asciiTheme="minorEastAsia" w:hAnsiTheme="minorEastAsia" w:eastAsiaTheme="minorEastAsia"/>
                <w:bCs/>
                <w:color w:val="000000" w:themeColor="text1"/>
                <w:lang w:val="en-US" w:eastAsia="zh-CN"/>
                <w14:textFill>
                  <w14:solidFill>
                    <w14:schemeClr w14:val="tx1"/>
                  </w14:solidFill>
                </w14:textFill>
              </w:rPr>
              <w:t>伊犁州范围内水泥窑协同处置工业固危废市场</w:t>
            </w:r>
          </w:p>
          <w:p w14:paraId="40B30BBD">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目标公司（</w:t>
            </w:r>
            <w:r>
              <w:rPr>
                <w:rFonts w:hint="eastAsia" w:cs="宋体" w:asciiTheme="minorEastAsia" w:hAnsiTheme="minorEastAsia" w:eastAsiaTheme="minorEastAsia"/>
                <w:bCs/>
                <w:color w:val="000000" w:themeColor="text1"/>
                <w:lang w:eastAsia="zh-CN"/>
                <w14:textFill>
                  <w14:solidFill>
                    <w14:schemeClr w14:val="tx1"/>
                  </w14:solidFill>
                </w14:textFill>
              </w:rPr>
              <w:t>新疆柏航</w:t>
            </w:r>
            <w:r>
              <w:rPr>
                <w:rFonts w:hint="eastAsia" w:cs="宋体" w:asciiTheme="minorEastAsia" w:hAnsiTheme="minorEastAsia" w:eastAsiaTheme="minorEastAsia"/>
                <w:bCs/>
                <w:color w:val="000000" w:themeColor="text1"/>
                <w:lang w:val="en-US" w:eastAsia="zh-CN"/>
                <w14:textFill>
                  <w14:solidFill>
                    <w14:schemeClr w14:val="tx1"/>
                  </w14:solidFill>
                </w14:textFill>
              </w:rPr>
              <w:t>）：5-10%</w:t>
            </w:r>
          </w:p>
          <w:p w14:paraId="40B30BBE">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2024年伊犁州（以新疆伊犁州伊宁市英也尔乡界梁子牧场为中心，销售半径350公里范围内）通用水泥市场</w:t>
            </w:r>
          </w:p>
          <w:p w14:paraId="40B30BBF">
            <w:pPr>
              <w:pStyle w:val="8"/>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目标公司（伊犁尧柏水泥）：10-15%</w:t>
            </w:r>
          </w:p>
          <w:p w14:paraId="40B30BC0">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2024年和田地区、喀什地区（以新疆和田地区和田县罕艾日克乡罕艾日克村为中心，销售半径500公里范围内）通用水泥市场</w:t>
            </w:r>
          </w:p>
          <w:p w14:paraId="40B30BC1">
            <w:pPr>
              <w:pStyle w:val="8"/>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目标资产1、目标资产3、目标资产5合计：10-15%</w:t>
            </w:r>
          </w:p>
          <w:p w14:paraId="40B30BC2">
            <w:pPr>
              <w:pStyle w:val="8"/>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2024年以新疆和田墨玉县北京工业园区为中心，销售半径50公里范围内商品混凝土市场</w:t>
            </w:r>
          </w:p>
          <w:p w14:paraId="40B30BC3">
            <w:pPr>
              <w:pStyle w:val="8"/>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目标资产2：0-5%</w:t>
            </w:r>
          </w:p>
          <w:p w14:paraId="40B30BC4">
            <w:pPr>
              <w:pStyle w:val="8"/>
              <w:adjustRightInd w:val="0"/>
              <w:snapToGrid w:val="0"/>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2024年以新疆和田地区和田县罕艾日克乡罕艾日克村为中心，销售半径50公里范围内商品混凝土市场</w:t>
            </w:r>
          </w:p>
          <w:p w14:paraId="40B30BC5">
            <w:pPr>
              <w:pStyle w:val="8"/>
              <w:spacing w:after="0"/>
              <w:rPr>
                <w:rFonts w:hint="eastAsia" w:cs="宋体" w:asciiTheme="minorEastAsia" w:hAnsiTheme="minorEastAsia" w:eastAsiaTheme="minorEastAsia"/>
                <w:bCs/>
                <w:color w:val="000000" w:themeColor="text1"/>
                <w:lang w:val="en-US" w:eastAsia="zh-CN"/>
                <w14:textFill>
                  <w14:solidFill>
                    <w14:schemeClr w14:val="tx1"/>
                  </w14:solidFill>
                </w14:textFill>
              </w:rPr>
            </w:pPr>
            <w:r>
              <w:rPr>
                <w:rFonts w:hint="eastAsia" w:cs="宋体" w:asciiTheme="minorEastAsia" w:hAnsiTheme="minorEastAsia" w:eastAsiaTheme="minorEastAsia"/>
                <w:bCs/>
                <w:color w:val="000000" w:themeColor="text1"/>
                <w:lang w:val="en-US" w:eastAsia="zh-CN"/>
                <w14:textFill>
                  <w14:solidFill>
                    <w14:schemeClr w14:val="tx1"/>
                  </w14:solidFill>
                </w14:textFill>
              </w:rPr>
              <w:t>目标资产4：0-5%</w:t>
            </w:r>
          </w:p>
        </w:tc>
      </w:tr>
    </w:tbl>
    <w:p w14:paraId="40B30BC7"/>
    <w:sectPr>
      <w:endnotePr>
        <w:numFmt w:val="decimal"/>
      </w:endnotePr>
      <w:pgSz w:w="11906" w:h="16838"/>
      <w:pgMar w:top="1984"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Arial">
    <w:altName w:val="Times New Roman"/>
    <w:panose1 w:val="020B0604020202020204"/>
    <w:charset w:val="00"/>
    <w:family w:val="swiss"/>
    <w:pitch w:val="default"/>
    <w:sig w:usb0="00000000" w:usb1="00000000" w:usb2="00000009" w:usb3="00000000" w:csb0="000001FF" w:csb1="00000000"/>
  </w:font>
  <w:font w:name="CESI楷体-GB2312">
    <w:panose1 w:val="02000500000000000000"/>
    <w:charset w:val="86"/>
    <w:family w:val="auto"/>
    <w:pitch w:val="default"/>
    <w:sig w:usb0="800002BF" w:usb1="184F6CF8" w:usb2="00000012" w:usb3="00000000" w:csb0="0004000F" w:csb1="00000000"/>
  </w:font>
  <w:font w:name="方正楷体_GBK">
    <w:panose1 w:val="02000000000000000000"/>
    <w:charset w:val="86"/>
    <w:family w:val="auto"/>
    <w:pitch w:val="default"/>
    <w:sig w:usb0="00000001" w:usb1="08000000" w:usb2="00000000" w:usb3="00000000" w:csb0="00040000" w:csb1="00000000"/>
  </w:font>
  <w:font w:name="Simplified Arabic">
    <w:altName w:val="Times New Roman"/>
    <w:panose1 w:val="00000000000000000000"/>
    <w:charset w:val="B2"/>
    <w:family w:val="roman"/>
    <w:pitch w:val="default"/>
    <w:sig w:usb0="00000000" w:usb1="00000000" w:usb2="00000008" w:usb3="00000000" w:csb0="0000004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DD792"/>
    <w:rsid w:val="00014B95"/>
    <w:rsid w:val="000448B3"/>
    <w:rsid w:val="00085E93"/>
    <w:rsid w:val="000A6E62"/>
    <w:rsid w:val="00153374"/>
    <w:rsid w:val="001568D0"/>
    <w:rsid w:val="002659E0"/>
    <w:rsid w:val="002E3AAB"/>
    <w:rsid w:val="00365CAE"/>
    <w:rsid w:val="003B5BC2"/>
    <w:rsid w:val="00405DFC"/>
    <w:rsid w:val="00411235"/>
    <w:rsid w:val="00430014"/>
    <w:rsid w:val="00486234"/>
    <w:rsid w:val="004A0F49"/>
    <w:rsid w:val="00517BEC"/>
    <w:rsid w:val="005D3B94"/>
    <w:rsid w:val="00614BF3"/>
    <w:rsid w:val="00644FB3"/>
    <w:rsid w:val="006A1169"/>
    <w:rsid w:val="006B0381"/>
    <w:rsid w:val="006D2AA2"/>
    <w:rsid w:val="00741A3B"/>
    <w:rsid w:val="007543EA"/>
    <w:rsid w:val="0079614B"/>
    <w:rsid w:val="007B06D8"/>
    <w:rsid w:val="00800737"/>
    <w:rsid w:val="00814BCC"/>
    <w:rsid w:val="0081652C"/>
    <w:rsid w:val="00817758"/>
    <w:rsid w:val="008859BC"/>
    <w:rsid w:val="008D7A8D"/>
    <w:rsid w:val="008F2066"/>
    <w:rsid w:val="00940C63"/>
    <w:rsid w:val="0097211C"/>
    <w:rsid w:val="0098343A"/>
    <w:rsid w:val="00994DC7"/>
    <w:rsid w:val="009C0EA9"/>
    <w:rsid w:val="009F285B"/>
    <w:rsid w:val="00A86D4D"/>
    <w:rsid w:val="00A93920"/>
    <w:rsid w:val="00B21323"/>
    <w:rsid w:val="00BA166B"/>
    <w:rsid w:val="00C25D8F"/>
    <w:rsid w:val="00CA20C2"/>
    <w:rsid w:val="00CA3B87"/>
    <w:rsid w:val="00CB04DB"/>
    <w:rsid w:val="00D5119C"/>
    <w:rsid w:val="00D929B6"/>
    <w:rsid w:val="00E76CC4"/>
    <w:rsid w:val="00ED1D4D"/>
    <w:rsid w:val="00F00194"/>
    <w:rsid w:val="00F562F8"/>
    <w:rsid w:val="00F80504"/>
    <w:rsid w:val="00F91C62"/>
    <w:rsid w:val="00FA07CA"/>
    <w:rsid w:val="00FB1653"/>
    <w:rsid w:val="00FC50A9"/>
    <w:rsid w:val="06396CDB"/>
    <w:rsid w:val="276F5A16"/>
    <w:rsid w:val="49659447"/>
    <w:rsid w:val="6FBDD792"/>
    <w:rsid w:val="74D42207"/>
    <w:rsid w:val="76FE3A0F"/>
    <w:rsid w:val="7FEF3501"/>
    <w:rsid w:val="9F9DCBBF"/>
    <w:rsid w:val="BC3517BA"/>
    <w:rsid w:val="DFBC2832"/>
    <w:rsid w:val="F0CF0FA1"/>
    <w:rsid w:val="F76E950E"/>
    <w:rsid w:val="F7BD343A"/>
    <w:rsid w:val="FEFED215"/>
    <w:rsid w:val="FEFF3882"/>
    <w:rsid w:val="FFF58612"/>
    <w:rsid w:val="FFFF7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jc w:val="center"/>
      <w:outlineLvl w:val="0"/>
    </w:pPr>
    <w:rPr>
      <w:rFonts w:eastAsia="CESI黑体-GB2312" w:asciiTheme="minorHAnsi" w:hAnsiTheme="minorHAnsi"/>
      <w:kern w:val="44"/>
      <w:sz w:val="36"/>
    </w:rPr>
  </w:style>
  <w:style w:type="paragraph" w:styleId="3">
    <w:name w:val="heading 2"/>
    <w:basedOn w:val="1"/>
    <w:next w:val="1"/>
    <w:semiHidden/>
    <w:unhideWhenUsed/>
    <w:qFormat/>
    <w:uiPriority w:val="0"/>
    <w:pPr>
      <w:keepNext/>
      <w:keepLines/>
      <w:spacing w:before="260" w:after="260"/>
      <w:jc w:val="center"/>
      <w:outlineLvl w:val="1"/>
    </w:pPr>
    <w:rPr>
      <w:rFonts w:ascii="Arial" w:hAnsi="Arial" w:eastAsia="黑体"/>
      <w:sz w:val="32"/>
    </w:rPr>
  </w:style>
  <w:style w:type="paragraph" w:styleId="4">
    <w:name w:val="heading 3"/>
    <w:basedOn w:val="1"/>
    <w:next w:val="1"/>
    <w:semiHidden/>
    <w:unhideWhenUsed/>
    <w:qFormat/>
    <w:uiPriority w:val="0"/>
    <w:pPr>
      <w:keepNext/>
      <w:keepLines/>
      <w:spacing w:before="260" w:after="260"/>
      <w:jc w:val="center"/>
      <w:outlineLvl w:val="2"/>
    </w:pPr>
    <w:rPr>
      <w:rFonts w:eastAsia="CESI楷体-GB2312" w:asciiTheme="minorHAnsi" w:hAnsiTheme="minorHAnsi"/>
      <w:sz w:val="30"/>
    </w:rPr>
  </w:style>
  <w:style w:type="paragraph" w:styleId="5">
    <w:name w:val="heading 4"/>
    <w:basedOn w:val="1"/>
    <w:next w:val="1"/>
    <w:link w:val="15"/>
    <w:semiHidden/>
    <w:unhideWhenUsed/>
    <w:qFormat/>
    <w:uiPriority w:val="0"/>
    <w:pPr>
      <w:keepNext/>
      <w:keepLines/>
      <w:spacing w:before="280" w:after="290"/>
      <w:jc w:val="left"/>
      <w:outlineLvl w:val="3"/>
    </w:pPr>
    <w:rPr>
      <w:rFonts w:ascii="Arial" w:hAnsi="Arial" w:eastAsia="方正楷体_GBK"/>
      <w:color w:val="C00000"/>
      <w:sz w:val="28"/>
    </w:rPr>
  </w:style>
  <w:style w:type="paragraph" w:styleId="6">
    <w:name w:val="heading 5"/>
    <w:basedOn w:val="1"/>
    <w:next w:val="1"/>
    <w:semiHidden/>
    <w:unhideWhenUsed/>
    <w:qFormat/>
    <w:uiPriority w:val="0"/>
    <w:pPr>
      <w:keepNext/>
      <w:keepLines/>
      <w:spacing w:before="280" w:after="290" w:line="372" w:lineRule="auto"/>
      <w:outlineLvl w:val="4"/>
    </w:pPr>
    <w:rPr>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Body Text"/>
    <w:qFormat/>
    <w:uiPriority w:val="0"/>
    <w:pPr>
      <w:spacing w:after="240"/>
      <w:jc w:val="both"/>
    </w:pPr>
    <w:rPr>
      <w:rFonts w:ascii="Times New Roman" w:hAnsi="Times New Roman" w:eastAsia="宋体" w:cs="Simplified Arabic"/>
      <w:sz w:val="24"/>
      <w:szCs w:val="24"/>
      <w:lang w:val="en-GB" w:eastAsia="en-GB" w:bidi="ar-AE"/>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tabs>
        <w:tab w:val="center" w:pos="4153"/>
        <w:tab w:val="right" w:pos="8306"/>
      </w:tabs>
      <w:snapToGrid w:val="0"/>
      <w:jc w:val="center"/>
    </w:pPr>
    <w:rPr>
      <w:sz w:val="18"/>
      <w:szCs w:val="18"/>
    </w:rPr>
  </w:style>
  <w:style w:type="table" w:styleId="12">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paragraph" w:customStyle="1" w:styleId="14">
    <w:name w:val="标题五"/>
    <w:basedOn w:val="6"/>
    <w:next w:val="1"/>
    <w:qFormat/>
    <w:uiPriority w:val="0"/>
    <w:rPr>
      <w:rFonts w:ascii="Arial" w:hAnsi="Arial" w:eastAsia="黑体" w:cs="Arial"/>
      <w:b w:val="0"/>
      <w:snapToGrid w:val="0"/>
      <w:color w:val="000000"/>
      <w:kern w:val="0"/>
      <w:sz w:val="21"/>
      <w:szCs w:val="21"/>
    </w:rPr>
  </w:style>
  <w:style w:type="character" w:customStyle="1" w:styleId="15">
    <w:name w:val="标题 4 字符"/>
    <w:link w:val="5"/>
    <w:qFormat/>
    <w:uiPriority w:val="0"/>
    <w:rPr>
      <w:rFonts w:ascii="Arial" w:hAnsi="Arial" w:eastAsia="方正楷体_GBK"/>
      <w:color w:val="C00000"/>
      <w:sz w:val="28"/>
    </w:rPr>
  </w:style>
  <w:style w:type="paragraph" w:customStyle="1" w:styleId="16">
    <w:name w:val="正文1"/>
    <w:qFormat/>
    <w:uiPriority w:val="0"/>
    <w:pPr>
      <w:jc w:val="both"/>
    </w:pPr>
    <w:rPr>
      <w:rFonts w:ascii="Arial" w:hAnsi="Arial" w:eastAsia="宋体" w:cs="Arial"/>
      <w:kern w:val="2"/>
      <w:sz w:val="21"/>
      <w:szCs w:val="21"/>
      <w:lang w:val="en-US" w:eastAsia="zh-CN" w:bidi="ar-SA"/>
    </w:rPr>
  </w:style>
  <w:style w:type="character" w:customStyle="1" w:styleId="17">
    <w:name w:val="页眉 字符"/>
    <w:basedOn w:val="13"/>
    <w:link w:val="10"/>
    <w:qFormat/>
    <w:uiPriority w:val="0"/>
    <w:rPr>
      <w:rFonts w:ascii="Times New Roman" w:hAnsi="Times New Roman" w:eastAsia="宋体" w:cs="Times New Roman"/>
      <w:kern w:val="2"/>
      <w:sz w:val="18"/>
      <w:szCs w:val="18"/>
    </w:rPr>
  </w:style>
  <w:style w:type="character" w:customStyle="1" w:styleId="18">
    <w:name w:val="页脚 字符"/>
    <w:basedOn w:val="13"/>
    <w:link w:val="9"/>
    <w:qFormat/>
    <w:uiPriority w:val="0"/>
    <w:rPr>
      <w:rFonts w:ascii="Times New Roman" w:hAnsi="Times New Roman" w:eastAsia="宋体" w:cs="Times New Roman"/>
      <w:kern w:val="2"/>
      <w:sz w:val="18"/>
      <w:szCs w:val="18"/>
    </w:rPr>
  </w:style>
  <w:style w:type="paragraph" w:customStyle="1" w:styleId="1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0">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1818</Words>
  <Characters>190</Characters>
  <Lines>1</Lines>
  <Paragraphs>4</Paragraphs>
  <TotalTime>3</TotalTime>
  <ScaleCrop>false</ScaleCrop>
  <LinksUpToDate>false</LinksUpToDate>
  <CharactersWithSpaces>2004</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2025-07-07T16:59:00Z</dcterms:created>
  <dc:creator>oa</dc:creator>
  <cp:lastModifiedBy>guest</cp:lastModifiedBy>
  <dcterms:modified xsi:type="dcterms:W3CDTF">2025-07-17T11:02:24Z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eyJoZGlkIjoiYTg3MzBhYzgwZmYxZjM5YjJmODg2ODVmYzVlZjMxNzEiLCJ1c2VySWQiOiI3Mzg1NjgyOTQifQ==</vt:lpwstr>
  </property>
  <property fmtid="{D5CDD505-2E9C-101B-9397-08002B2CF9AE}" pid="4" name="ICV">
    <vt:lpwstr>C85A39A9830C4541B32451B1B946ED54_12</vt:lpwstr>
  </property>
</Properties>
</file>