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4B40E8">
      <w:pPr>
        <w:keepNext w:val="0"/>
        <w:keepLines w:val="0"/>
        <w:widowControl/>
        <w:suppressLineNumbers w:val="0"/>
        <w:spacing w:before="0" w:beforeAutospacing="0" w:after="24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GB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GB" w:eastAsia="zh-CN" w:bidi="ar"/>
        </w:rPr>
        <w:t>经营者集中简易案件公示表</w:t>
      </w:r>
    </w:p>
    <w:bookmarkEnd w:id="0"/>
    <w:tbl>
      <w:tblPr>
        <w:tblStyle w:val="5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476"/>
        <w:gridCol w:w="6224"/>
      </w:tblGrid>
      <w:tr w14:paraId="48B2A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940" w:type="dxa"/>
            <w:shd w:val="clear" w:color="auto" w:fill="D9D9D9"/>
            <w:vAlign w:val="center"/>
          </w:tcPr>
          <w:p w14:paraId="4481B66E">
            <w:pPr>
              <w:pStyle w:val="3"/>
              <w:widowControl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 w14:paraId="1A8A0CD2">
            <w:pPr>
              <w:widowControl/>
              <w:adjustRightInd w:val="0"/>
              <w:snapToGrid w:val="0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LG Energy Solution Michigan Inc.收购Green Metals Battery Innovations, LLC股权案</w:t>
            </w:r>
          </w:p>
        </w:tc>
      </w:tr>
      <w:tr w14:paraId="1316C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1940" w:type="dxa"/>
            <w:shd w:val="clear" w:color="auto" w:fill="D9D9D9"/>
            <w:vAlign w:val="center"/>
          </w:tcPr>
          <w:p w14:paraId="0C7101F0">
            <w:pPr>
              <w:pStyle w:val="3"/>
              <w:widowControl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交易概况（限200字内）</w:t>
            </w:r>
          </w:p>
        </w:tc>
        <w:tc>
          <w:tcPr>
            <w:tcW w:w="7700" w:type="dxa"/>
            <w:gridSpan w:val="2"/>
            <w:vAlign w:val="center"/>
          </w:tcPr>
          <w:p w14:paraId="29EE80E8">
            <w:pPr>
              <w:widowControl/>
              <w:adjustRightInd w:val="0"/>
              <w:snapToGrid w:val="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Toyota Tsusho America, Inc.（“TAI”）、LG Energy Solution Michigan Inc.（“LGESMI”）与Green Metals Battery Innovations, LLC（“目标公司”）签署协议，LGESMI收购目标公司49%的股份。目标公司将主要从事锂离子电池回收服务业务。交易前，TAI持有目标公司100%的股份，单独控制目标公司。交易后，TAI和LGESMI将分别持有目标公司51%和49%的股份，TAI、LGESMI共同控制目标公司。</w:t>
            </w:r>
          </w:p>
        </w:tc>
      </w:tr>
      <w:tr w14:paraId="52656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03569A66">
            <w:pPr>
              <w:pStyle w:val="3"/>
              <w:widowControl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参与集中的经营者简介（每个限100字内）</w:t>
            </w:r>
          </w:p>
        </w:tc>
        <w:tc>
          <w:tcPr>
            <w:tcW w:w="1476" w:type="dxa"/>
            <w:vAlign w:val="center"/>
          </w:tcPr>
          <w:p w14:paraId="49E25CD6">
            <w:pPr>
              <w:pStyle w:val="3"/>
              <w:widowControl/>
              <w:adjustRightInd w:val="0"/>
              <w:snapToGrid w:val="0"/>
              <w:spacing w:after="0"/>
              <w:rPr>
                <w:rFonts w:hint="default" w:ascii="Times New Roman" w:hAnsi="Times New Roman" w:eastAsia="宋体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.</w:t>
            </w:r>
            <w:r>
              <w:rPr>
                <w:rFonts w:hint="eastAsia" w:cs="Times New Roman"/>
                <w:bCs/>
                <w:color w:val="000000"/>
                <w:sz w:val="24"/>
                <w:lang w:val="en-US" w:eastAsia="zh-CN"/>
              </w:rPr>
              <w:t>LGESMI</w:t>
            </w:r>
          </w:p>
        </w:tc>
        <w:tc>
          <w:tcPr>
            <w:tcW w:w="6224" w:type="dxa"/>
            <w:vAlign w:val="center"/>
          </w:tcPr>
          <w:p w14:paraId="4CDB34BF">
            <w:pPr>
              <w:pStyle w:val="3"/>
              <w:widowControl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LGESMI于2000年10月25日成立于美国，主要业务为与美国主要汽车制造商合作，为其供应量产的电动汽车电池，以实现电动汽车转型。</w:t>
            </w:r>
          </w:p>
          <w:p w14:paraId="2B901456">
            <w:pPr>
              <w:pStyle w:val="3"/>
              <w:widowControl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LGESMI最终控制人为株式会社LG化学，其主要业务为石油化工、能源解决方案、先进材料业务、生命科学业务以及作物保护产品、种子、肥料等的生产。</w:t>
            </w:r>
          </w:p>
        </w:tc>
      </w:tr>
      <w:tr w14:paraId="56138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6107E83F">
            <w:pPr>
              <w:pStyle w:val="3"/>
              <w:widowControl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476" w:type="dxa"/>
            <w:vAlign w:val="center"/>
          </w:tcPr>
          <w:p w14:paraId="253A5FC4">
            <w:pPr>
              <w:pStyle w:val="3"/>
              <w:widowControl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lang w:val="en-US" w:eastAsia="zh-CN"/>
              </w:rPr>
              <w:t>2.</w:t>
            </w:r>
            <w:r>
              <w:rPr>
                <w:rFonts w:hint="eastAsia" w:cs="Times New Roman"/>
                <w:bCs/>
                <w:color w:val="000000"/>
                <w:sz w:val="24"/>
                <w:lang w:val="en-US" w:eastAsia="zh-CN"/>
              </w:rPr>
              <w:t>TAI</w:t>
            </w:r>
          </w:p>
        </w:tc>
        <w:tc>
          <w:tcPr>
            <w:tcW w:w="6224" w:type="dxa"/>
            <w:vAlign w:val="center"/>
          </w:tcPr>
          <w:p w14:paraId="077B41A1">
            <w:pPr>
              <w:pStyle w:val="3"/>
              <w:widowControl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TAI于1989年12月8日成立于美国，主要业务为通过金属加工业、循环经济、数字解决方案、供应链、移动出行、绿色基础设施和生活方式等细分领域，为汽车、电子、农业等企业级行业构建价值链。</w:t>
            </w:r>
          </w:p>
          <w:p w14:paraId="4DF9A9C0">
            <w:pPr>
              <w:pStyle w:val="3"/>
              <w:widowControl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TAI最终控制人为丰田通商株式会社，主要业务涵盖金属工业、循环经济、供应链、移动出行、绿色基础设施、数字解决方案、生活方式和非洲业务等八个领域，是一家全球性的日本贸易公司。</w:t>
            </w:r>
          </w:p>
        </w:tc>
      </w:tr>
      <w:tr w14:paraId="3822B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7D2EE435">
            <w:pPr>
              <w:pStyle w:val="3"/>
              <w:widowControl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05C33F5D">
            <w:pPr>
              <w:pStyle w:val="3"/>
              <w:widowControl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 xml:space="preserve"> 1、在同一相关市场，所有参与集中的经营者所占市场份额之和小于15%。</w:t>
            </w:r>
          </w:p>
        </w:tc>
      </w:tr>
      <w:tr w14:paraId="32D6C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36DDC12D">
            <w:pPr>
              <w:pStyle w:val="3"/>
              <w:widowControl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3EEEBBAD">
            <w:pPr>
              <w:pStyle w:val="3"/>
              <w:widowControl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 xml:space="preserve"> 2、存在上下游关系的参与集中的经营者，在上下游市场所占的市场份额均小于25%。</w:t>
            </w:r>
          </w:p>
        </w:tc>
      </w:tr>
      <w:tr w14:paraId="210C1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6E84D050">
            <w:pPr>
              <w:pStyle w:val="3"/>
              <w:widowControl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0874C99C">
            <w:pPr>
              <w:pStyle w:val="3"/>
              <w:widowControl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 xml:space="preserve"> 3、不在同一相关市场、也不存在上下游关系的参与集中的经营者，在与交易有关的每个市场所占的份额均小于25%。</w:t>
            </w:r>
          </w:p>
        </w:tc>
      </w:tr>
      <w:tr w14:paraId="068DF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2DF08E02">
            <w:pPr>
              <w:pStyle w:val="3"/>
              <w:widowControl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262CD8CA">
            <w:pPr>
              <w:pStyle w:val="3"/>
              <w:widowControl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 xml:space="preserve"> 4、参与集中的经营者在中国境外设立合营企业，合营企业不在中国境内从事经济活动。</w:t>
            </w:r>
          </w:p>
        </w:tc>
      </w:tr>
      <w:tr w14:paraId="3696D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55C958EB">
            <w:pPr>
              <w:pStyle w:val="3"/>
              <w:widowControl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0334D3D9">
            <w:pPr>
              <w:pStyle w:val="3"/>
              <w:widowControl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sym w:font="Wingdings" w:char="00FE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 xml:space="preserve"> 5、参与集中的经营者收购境外企业股权或资产的，该境外企业不在中国境内从事经济活动。</w:t>
            </w:r>
          </w:p>
        </w:tc>
      </w:tr>
      <w:tr w14:paraId="62639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3D3EBB09">
            <w:pPr>
              <w:pStyle w:val="3"/>
              <w:widowControl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5F53F149">
            <w:pPr>
              <w:pStyle w:val="3"/>
              <w:widowControl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 xml:space="preserve"> 6、由两个以上的经营者共同控制的合营企业，通过集中被其中一个或一个以上经营者控制。</w:t>
            </w:r>
          </w:p>
        </w:tc>
      </w:tr>
      <w:tr w14:paraId="697F4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40" w:type="dxa"/>
            <w:shd w:val="clear" w:color="auto" w:fill="D9D9D9"/>
            <w:vAlign w:val="center"/>
          </w:tcPr>
          <w:p w14:paraId="04675D2E">
            <w:pPr>
              <w:pStyle w:val="3"/>
              <w:widowControl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57B1839A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eastAsia="宋体" w:cs="Times New Roman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b w:val="0"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不适用</w:t>
            </w:r>
          </w:p>
        </w:tc>
      </w:tr>
    </w:tbl>
    <w:p w14:paraId="0AE27EA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C53501"/>
    <w:rsid w:val="4BC53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</w:style>
  <w:style w:type="paragraph" w:styleId="3">
    <w:name w:val="Body Text"/>
    <w:basedOn w:val="1"/>
    <w:next w:val="4"/>
    <w:unhideWhenUsed/>
    <w:qFormat/>
    <w:uiPriority w:val="99"/>
    <w:pPr>
      <w:spacing w:after="120"/>
    </w:pPr>
  </w:style>
  <w:style w:type="paragraph" w:styleId="4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2025-08-20T02:14:00Z</dcterms:created>
  <dc:creator>胡翌婧</dc:creator>
  <cp:lastModifiedBy>胡翌婧</cp:lastModifiedBy>
  <dcterms:modified xsi:type="dcterms:W3CDTF">2025-08-20T02:14:59Z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805589C79052481EA3A18F0977CFBF1E_11</vt:lpwstr>
  </property>
  <property fmtid="{D5CDD505-2E9C-101B-9397-08002B2CF9AE}" pid="4" name="KSOTemplateDocerSaveRecord">
    <vt:lpwstr>eyJoZGlkIjoiODNjM2VkZWUwYjdkZDYzZGY2NmZiZGNiZGIyMjFjYWIiLCJ1c2VySWQiOiIyNDQ2MzYxMzgifQ==</vt:lpwstr>
  </property>
</Properties>
</file>