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B9291" w14:textId="1611EB80" w:rsidR="000E7D7A" w:rsidRPr="003F7CB0" w:rsidRDefault="00000000">
      <w:pPr>
        <w:widowControl/>
        <w:spacing w:after="240" w:line="594" w:lineRule="exact"/>
        <w:jc w:val="center"/>
        <w:rPr>
          <w:rFonts w:eastAsia="黑体"/>
          <w:bCs/>
          <w:kern w:val="0"/>
          <w:sz w:val="36"/>
          <w:szCs w:val="36"/>
          <w:lang w:val="en-GB" w:bidi="ar-AE"/>
        </w:rPr>
      </w:pPr>
      <w:r w:rsidRPr="003F7CB0">
        <w:rPr>
          <w:rFonts w:eastAsia="黑体"/>
          <w:bCs/>
          <w:kern w:val="0"/>
          <w:sz w:val="36"/>
          <w:szCs w:val="36"/>
          <w:lang w:val="en-GB" w:bidi="ar-AE"/>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0"/>
        <w:gridCol w:w="1607"/>
        <w:gridCol w:w="6093"/>
      </w:tblGrid>
      <w:tr w:rsidR="000E7D7A" w:rsidRPr="003F7CB0" w14:paraId="197EAE9F" w14:textId="77777777">
        <w:trPr>
          <w:trHeight w:val="926"/>
        </w:trPr>
        <w:tc>
          <w:tcPr>
            <w:tcW w:w="1940" w:type="dxa"/>
            <w:shd w:val="clear" w:color="auto" w:fill="D9D9D9"/>
            <w:vAlign w:val="center"/>
          </w:tcPr>
          <w:p w14:paraId="7DE27EE4" w14:textId="77777777" w:rsidR="000E7D7A" w:rsidRPr="003F7CB0" w:rsidRDefault="00000000">
            <w:pPr>
              <w:pStyle w:val="a3"/>
              <w:adjustRightInd w:val="0"/>
              <w:snapToGrid w:val="0"/>
              <w:spacing w:after="0" w:line="240" w:lineRule="auto"/>
              <w:rPr>
                <w:rFonts w:cs="Times New Roman"/>
                <w:bCs/>
                <w:color w:val="000000"/>
                <w:lang w:val="en-US"/>
              </w:rPr>
            </w:pPr>
            <w:r w:rsidRPr="003F7CB0">
              <w:rPr>
                <w:rFonts w:cs="Times New Roman"/>
                <w:bCs/>
                <w:color w:val="000000"/>
              </w:rPr>
              <w:t>案件名称</w:t>
            </w:r>
          </w:p>
        </w:tc>
        <w:tc>
          <w:tcPr>
            <w:tcW w:w="7700" w:type="dxa"/>
            <w:gridSpan w:val="2"/>
            <w:vAlign w:val="center"/>
          </w:tcPr>
          <w:p w14:paraId="3E713EB0" w14:textId="7DBB01EF" w:rsidR="000E7D7A" w:rsidRPr="003F7CB0" w:rsidRDefault="00136CCD" w:rsidP="00BC46AA">
            <w:pPr>
              <w:adjustRightInd w:val="0"/>
              <w:snapToGrid w:val="0"/>
              <w:spacing w:after="0" w:line="240" w:lineRule="auto"/>
              <w:rPr>
                <w:bCs/>
                <w:color w:val="000000"/>
                <w:kern w:val="0"/>
                <w:sz w:val="24"/>
                <w:lang w:bidi="ar-AE"/>
              </w:rPr>
            </w:pPr>
            <w:r w:rsidRPr="003F7CB0">
              <w:rPr>
                <w:bCs/>
                <w:color w:val="000000"/>
                <w:kern w:val="0"/>
                <w:sz w:val="24"/>
                <w:lang w:bidi="ar-AE"/>
              </w:rPr>
              <w:t>福建万辰生物科技集团股份有限公司收购南京万优商业管理有限公司股权案</w:t>
            </w:r>
          </w:p>
        </w:tc>
      </w:tr>
      <w:tr w:rsidR="000E7D7A" w:rsidRPr="003F7CB0" w14:paraId="2951CAA9" w14:textId="77777777">
        <w:trPr>
          <w:trHeight w:val="1391"/>
        </w:trPr>
        <w:tc>
          <w:tcPr>
            <w:tcW w:w="1940" w:type="dxa"/>
            <w:shd w:val="clear" w:color="auto" w:fill="D9D9D9"/>
            <w:vAlign w:val="center"/>
          </w:tcPr>
          <w:p w14:paraId="2BFDC495" w14:textId="77777777"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t>交易概况（限</w:t>
            </w:r>
            <w:r w:rsidRPr="003F7CB0">
              <w:rPr>
                <w:rFonts w:cs="Times New Roman"/>
                <w:bCs/>
                <w:color w:val="000000"/>
                <w:lang w:eastAsia="zh-CN"/>
              </w:rPr>
              <w:t>200</w:t>
            </w:r>
            <w:r w:rsidRPr="003F7CB0">
              <w:rPr>
                <w:rFonts w:cs="Times New Roman"/>
                <w:bCs/>
                <w:color w:val="000000"/>
                <w:lang w:eastAsia="zh-CN"/>
              </w:rPr>
              <w:t>字内）</w:t>
            </w:r>
          </w:p>
        </w:tc>
        <w:tc>
          <w:tcPr>
            <w:tcW w:w="7700" w:type="dxa"/>
            <w:gridSpan w:val="2"/>
            <w:vAlign w:val="center"/>
          </w:tcPr>
          <w:p w14:paraId="5D8C4617" w14:textId="23772D49" w:rsidR="006F2C11" w:rsidRDefault="006F2C11" w:rsidP="00041EA7">
            <w:pPr>
              <w:adjustRightInd w:val="0"/>
              <w:snapToGrid w:val="0"/>
              <w:spacing w:after="0" w:line="240" w:lineRule="auto"/>
              <w:rPr>
                <w:bCs/>
                <w:color w:val="000000"/>
                <w:kern w:val="0"/>
                <w:sz w:val="24"/>
                <w:lang w:bidi="ar-AE"/>
              </w:rPr>
            </w:pPr>
            <w:r w:rsidRPr="00BC46AA">
              <w:rPr>
                <w:rFonts w:hint="eastAsia"/>
                <w:bCs/>
                <w:color w:val="000000"/>
                <w:kern w:val="0"/>
                <w:sz w:val="24"/>
                <w:lang w:bidi="ar-AE"/>
              </w:rPr>
              <w:t>福建万辰生物科技集团股份有限公司（</w:t>
            </w:r>
            <w:r w:rsidRPr="00BC46AA">
              <w:rPr>
                <w:bCs/>
                <w:color w:val="000000"/>
                <w:kern w:val="0"/>
                <w:sz w:val="24"/>
                <w:lang w:bidi="ar-AE"/>
              </w:rPr>
              <w:t>“</w:t>
            </w:r>
            <w:r w:rsidRPr="00BC46AA">
              <w:rPr>
                <w:rFonts w:hint="eastAsia"/>
                <w:bCs/>
                <w:color w:val="000000"/>
                <w:kern w:val="0"/>
                <w:sz w:val="24"/>
                <w:lang w:bidi="ar-AE"/>
              </w:rPr>
              <w:t>万辰集团</w:t>
            </w:r>
            <w:r w:rsidRPr="00BC46AA">
              <w:rPr>
                <w:bCs/>
                <w:color w:val="000000"/>
                <w:kern w:val="0"/>
                <w:sz w:val="24"/>
                <w:lang w:bidi="ar-AE"/>
              </w:rPr>
              <w:t>”</w:t>
            </w:r>
            <w:r w:rsidRPr="00BC46AA">
              <w:rPr>
                <w:rFonts w:hint="eastAsia"/>
                <w:bCs/>
                <w:color w:val="000000"/>
                <w:kern w:val="0"/>
                <w:sz w:val="24"/>
                <w:lang w:bidi="ar-AE"/>
              </w:rPr>
              <w:t>）</w:t>
            </w:r>
            <w:r w:rsidR="00136CCD" w:rsidRPr="003F7CB0">
              <w:rPr>
                <w:bCs/>
                <w:color w:val="000000"/>
                <w:kern w:val="0"/>
                <w:sz w:val="24"/>
                <w:lang w:bidi="ar-AE"/>
              </w:rPr>
              <w:t>与</w:t>
            </w:r>
            <w:r w:rsidRPr="00BC46AA">
              <w:rPr>
                <w:rFonts w:hint="eastAsia"/>
                <w:bCs/>
                <w:color w:val="000000"/>
                <w:kern w:val="0"/>
                <w:sz w:val="24"/>
                <w:lang w:bidi="ar-AE"/>
              </w:rPr>
              <w:t>淮南市盛裕企业管理有限公司（“淮南盛裕”）</w:t>
            </w:r>
            <w:r w:rsidR="00136CCD" w:rsidRPr="00BC46AA">
              <w:rPr>
                <w:rFonts w:hint="eastAsia"/>
                <w:bCs/>
                <w:color w:val="000000"/>
                <w:kern w:val="0"/>
                <w:sz w:val="24"/>
                <w:lang w:bidi="ar-AE"/>
              </w:rPr>
              <w:t>、</w:t>
            </w:r>
            <w:r w:rsidRPr="00BC46AA">
              <w:rPr>
                <w:rFonts w:hint="eastAsia"/>
                <w:bCs/>
                <w:color w:val="000000"/>
                <w:kern w:val="0"/>
                <w:sz w:val="24"/>
                <w:lang w:bidi="ar-AE"/>
              </w:rPr>
              <w:t>淮南市会想企业管理有限公司（“淮南会想”）</w:t>
            </w:r>
            <w:r w:rsidR="00136CCD" w:rsidRPr="003F7CB0">
              <w:rPr>
                <w:bCs/>
                <w:color w:val="000000"/>
                <w:kern w:val="0"/>
                <w:sz w:val="24"/>
                <w:lang w:bidi="ar-AE"/>
              </w:rPr>
              <w:t>等签署协议，万辰集团收购淮南盛裕持有的</w:t>
            </w:r>
            <w:r w:rsidR="00FD7B39" w:rsidRPr="00BC46AA">
              <w:rPr>
                <w:rFonts w:hint="eastAsia"/>
                <w:bCs/>
                <w:color w:val="000000"/>
                <w:kern w:val="0"/>
                <w:sz w:val="24"/>
                <w:lang w:bidi="ar-AE"/>
              </w:rPr>
              <w:t>南京万优商业管理有限公司（“南京万优”）</w:t>
            </w:r>
            <w:r w:rsidR="00136CCD" w:rsidRPr="003F7CB0">
              <w:rPr>
                <w:bCs/>
                <w:color w:val="000000"/>
                <w:kern w:val="0"/>
                <w:sz w:val="24"/>
                <w:lang w:bidi="ar-AE"/>
              </w:rPr>
              <w:t>45.08%</w:t>
            </w:r>
            <w:r w:rsidR="00136CCD" w:rsidRPr="003F7CB0">
              <w:rPr>
                <w:bCs/>
                <w:color w:val="000000"/>
                <w:kern w:val="0"/>
                <w:sz w:val="24"/>
                <w:lang w:bidi="ar-AE"/>
              </w:rPr>
              <w:t>股权，收购淮南会想持有的南京万优</w:t>
            </w:r>
            <w:r w:rsidR="00136CCD" w:rsidRPr="003F7CB0">
              <w:rPr>
                <w:bCs/>
                <w:color w:val="000000"/>
                <w:kern w:val="0"/>
                <w:sz w:val="24"/>
                <w:lang w:bidi="ar-AE"/>
              </w:rPr>
              <w:t>3.92%</w:t>
            </w:r>
            <w:r w:rsidR="00136CCD" w:rsidRPr="003F7CB0">
              <w:rPr>
                <w:bCs/>
                <w:color w:val="000000"/>
                <w:kern w:val="0"/>
                <w:sz w:val="24"/>
                <w:lang w:bidi="ar-AE"/>
              </w:rPr>
              <w:t>股权。</w:t>
            </w:r>
            <w:r w:rsidR="003F7CB0">
              <w:rPr>
                <w:rFonts w:hint="eastAsia"/>
                <w:bCs/>
                <w:color w:val="000000"/>
                <w:kern w:val="0"/>
                <w:sz w:val="24"/>
                <w:lang w:bidi="ar-AE"/>
              </w:rPr>
              <w:t>南京万优主要从事</w:t>
            </w:r>
            <w:r w:rsidR="003F7CB0" w:rsidRPr="003F7CB0">
              <w:rPr>
                <w:rFonts w:hint="eastAsia"/>
                <w:bCs/>
                <w:color w:val="000000"/>
                <w:kern w:val="0"/>
                <w:sz w:val="24"/>
                <w:lang w:bidi="ar-AE"/>
              </w:rPr>
              <w:t>休闲食品饮料零售</w:t>
            </w:r>
            <w:r w:rsidR="003F7CB0">
              <w:rPr>
                <w:rFonts w:hint="eastAsia"/>
                <w:bCs/>
                <w:color w:val="000000"/>
                <w:kern w:val="0"/>
                <w:sz w:val="24"/>
                <w:lang w:bidi="ar-AE"/>
              </w:rPr>
              <w:t>业务。</w:t>
            </w:r>
          </w:p>
          <w:p w14:paraId="4C51F0A7" w14:textId="53D69904" w:rsidR="006F2C11" w:rsidRDefault="00136CCD" w:rsidP="00041EA7">
            <w:pPr>
              <w:adjustRightInd w:val="0"/>
              <w:snapToGrid w:val="0"/>
              <w:spacing w:after="0" w:line="240" w:lineRule="auto"/>
              <w:rPr>
                <w:bCs/>
                <w:color w:val="000000"/>
                <w:kern w:val="0"/>
                <w:sz w:val="24"/>
                <w:lang w:bidi="ar-AE"/>
              </w:rPr>
            </w:pPr>
            <w:r w:rsidRPr="003F7CB0">
              <w:rPr>
                <w:bCs/>
                <w:color w:val="000000"/>
                <w:kern w:val="0"/>
                <w:sz w:val="24"/>
                <w:lang w:bidi="ar-AE"/>
              </w:rPr>
              <w:t>交易前，</w:t>
            </w:r>
            <w:r w:rsidR="006F2C11">
              <w:rPr>
                <w:rFonts w:hint="eastAsia"/>
                <w:bCs/>
                <w:color w:val="000000"/>
                <w:kern w:val="0"/>
                <w:sz w:val="24"/>
                <w:lang w:bidi="ar-AE"/>
              </w:rPr>
              <w:t>万辰集团通过其控制的</w:t>
            </w:r>
            <w:r w:rsidRPr="003F7CB0">
              <w:rPr>
                <w:bCs/>
                <w:color w:val="000000"/>
                <w:kern w:val="0"/>
                <w:sz w:val="24"/>
                <w:lang w:bidi="ar-AE"/>
              </w:rPr>
              <w:t>南京万品商业管理有限公司（</w:t>
            </w:r>
            <w:r w:rsidRPr="003F7CB0">
              <w:rPr>
                <w:bCs/>
                <w:color w:val="000000"/>
                <w:kern w:val="0"/>
                <w:sz w:val="24"/>
                <w:lang w:bidi="ar-AE"/>
              </w:rPr>
              <w:t>“</w:t>
            </w:r>
            <w:r w:rsidRPr="003F7CB0">
              <w:rPr>
                <w:bCs/>
                <w:color w:val="000000"/>
                <w:kern w:val="0"/>
                <w:sz w:val="24"/>
                <w:lang w:bidi="ar-AE"/>
              </w:rPr>
              <w:t>南京万品</w:t>
            </w:r>
            <w:r w:rsidRPr="003F7CB0">
              <w:rPr>
                <w:bCs/>
                <w:color w:val="000000"/>
                <w:kern w:val="0"/>
                <w:sz w:val="24"/>
                <w:lang w:bidi="ar-AE"/>
              </w:rPr>
              <w:t>”</w:t>
            </w:r>
            <w:r w:rsidRPr="003F7CB0">
              <w:rPr>
                <w:bCs/>
                <w:color w:val="000000"/>
                <w:kern w:val="0"/>
                <w:sz w:val="24"/>
                <w:lang w:bidi="ar-AE"/>
              </w:rPr>
              <w:t>）持有南京万优</w:t>
            </w:r>
            <w:r w:rsidRPr="003F7CB0">
              <w:rPr>
                <w:bCs/>
                <w:color w:val="000000"/>
                <w:kern w:val="0"/>
                <w:sz w:val="24"/>
                <w:lang w:bidi="ar-AE"/>
              </w:rPr>
              <w:t>51%</w:t>
            </w:r>
            <w:r w:rsidRPr="003F7CB0">
              <w:rPr>
                <w:bCs/>
                <w:color w:val="000000"/>
                <w:kern w:val="0"/>
                <w:sz w:val="24"/>
                <w:lang w:bidi="ar-AE"/>
              </w:rPr>
              <w:t>股权、淮南盛裕持有南京万优</w:t>
            </w:r>
            <w:r w:rsidRPr="003F7CB0">
              <w:rPr>
                <w:bCs/>
                <w:color w:val="000000"/>
                <w:kern w:val="0"/>
                <w:sz w:val="24"/>
                <w:lang w:bidi="ar-AE"/>
              </w:rPr>
              <w:t>45.08%</w:t>
            </w:r>
            <w:r w:rsidRPr="003F7CB0">
              <w:rPr>
                <w:bCs/>
                <w:color w:val="000000"/>
                <w:kern w:val="0"/>
                <w:sz w:val="24"/>
                <w:lang w:bidi="ar-AE"/>
              </w:rPr>
              <w:t>股权，</w:t>
            </w:r>
            <w:r w:rsidR="006F2C11">
              <w:rPr>
                <w:rFonts w:hint="eastAsia"/>
                <w:bCs/>
                <w:color w:val="000000"/>
                <w:kern w:val="0"/>
                <w:sz w:val="24"/>
                <w:lang w:bidi="ar-AE"/>
              </w:rPr>
              <w:t>万辰集团与淮南盛裕</w:t>
            </w:r>
            <w:r w:rsidR="005224F4" w:rsidRPr="003F7CB0">
              <w:rPr>
                <w:rFonts w:hint="eastAsia"/>
                <w:bCs/>
                <w:color w:val="000000"/>
                <w:kern w:val="0"/>
                <w:sz w:val="24"/>
                <w:lang w:bidi="ar-AE"/>
              </w:rPr>
              <w:t>共同控制南京万优。</w:t>
            </w:r>
          </w:p>
          <w:p w14:paraId="067749AB" w14:textId="091C88CA" w:rsidR="000E7D7A" w:rsidRPr="003F7CB0" w:rsidRDefault="00136CCD" w:rsidP="00041EA7">
            <w:pPr>
              <w:adjustRightInd w:val="0"/>
              <w:snapToGrid w:val="0"/>
              <w:spacing w:after="0" w:line="240" w:lineRule="auto"/>
              <w:rPr>
                <w:bCs/>
                <w:color w:val="000000"/>
                <w:kern w:val="0"/>
                <w:sz w:val="24"/>
                <w:lang w:bidi="ar-AE"/>
              </w:rPr>
            </w:pPr>
            <w:r w:rsidRPr="003F7CB0">
              <w:rPr>
                <w:bCs/>
                <w:color w:val="000000"/>
                <w:kern w:val="0"/>
                <w:sz w:val="24"/>
                <w:lang w:bidi="ar-AE"/>
              </w:rPr>
              <w:t>交易后，万辰集团</w:t>
            </w:r>
            <w:r w:rsidR="006F2C11">
              <w:rPr>
                <w:rFonts w:hint="eastAsia"/>
                <w:bCs/>
                <w:color w:val="000000"/>
                <w:kern w:val="0"/>
                <w:sz w:val="24"/>
                <w:lang w:bidi="ar-AE"/>
              </w:rPr>
              <w:t>直接</w:t>
            </w:r>
            <w:r w:rsidRPr="003F7CB0">
              <w:rPr>
                <w:bCs/>
                <w:color w:val="000000"/>
                <w:kern w:val="0"/>
                <w:sz w:val="24"/>
                <w:lang w:bidi="ar-AE"/>
              </w:rPr>
              <w:t>持有南京万优</w:t>
            </w:r>
            <w:r w:rsidRPr="003F7CB0">
              <w:rPr>
                <w:bCs/>
                <w:color w:val="000000"/>
                <w:kern w:val="0"/>
                <w:sz w:val="24"/>
                <w:lang w:bidi="ar-AE"/>
              </w:rPr>
              <w:t>49%</w:t>
            </w:r>
            <w:r w:rsidRPr="003F7CB0">
              <w:rPr>
                <w:bCs/>
                <w:color w:val="000000"/>
                <w:kern w:val="0"/>
                <w:sz w:val="24"/>
                <w:lang w:bidi="ar-AE"/>
              </w:rPr>
              <w:t>股权</w:t>
            </w:r>
            <w:r w:rsidR="006F2C11">
              <w:rPr>
                <w:rFonts w:hint="eastAsia"/>
                <w:bCs/>
                <w:color w:val="000000"/>
                <w:kern w:val="0"/>
                <w:sz w:val="24"/>
                <w:lang w:bidi="ar-AE"/>
              </w:rPr>
              <w:t>、通过其控制的</w:t>
            </w:r>
            <w:r w:rsidR="006F2C11" w:rsidRPr="003F7CB0">
              <w:rPr>
                <w:bCs/>
                <w:color w:val="000000"/>
                <w:kern w:val="0"/>
                <w:sz w:val="24"/>
                <w:lang w:bidi="ar-AE"/>
              </w:rPr>
              <w:t>南京万品持有南京万优</w:t>
            </w:r>
            <w:r w:rsidR="006F2C11" w:rsidRPr="003F7CB0">
              <w:rPr>
                <w:bCs/>
                <w:color w:val="000000"/>
                <w:kern w:val="0"/>
                <w:sz w:val="24"/>
                <w:lang w:bidi="ar-AE"/>
              </w:rPr>
              <w:t>51%</w:t>
            </w:r>
            <w:r w:rsidR="006F2C11" w:rsidRPr="003F7CB0">
              <w:rPr>
                <w:bCs/>
                <w:color w:val="000000"/>
                <w:kern w:val="0"/>
                <w:sz w:val="24"/>
                <w:lang w:bidi="ar-AE"/>
              </w:rPr>
              <w:t>股权</w:t>
            </w:r>
            <w:r w:rsidRPr="003F7CB0">
              <w:rPr>
                <w:bCs/>
                <w:color w:val="000000"/>
                <w:kern w:val="0"/>
                <w:sz w:val="24"/>
                <w:lang w:bidi="ar-AE"/>
              </w:rPr>
              <w:t>，</w:t>
            </w:r>
            <w:r w:rsidR="006F2C11">
              <w:rPr>
                <w:rFonts w:hint="eastAsia"/>
                <w:bCs/>
                <w:color w:val="000000"/>
                <w:kern w:val="0"/>
                <w:sz w:val="24"/>
                <w:lang w:bidi="ar-AE"/>
              </w:rPr>
              <w:t>万辰集团</w:t>
            </w:r>
            <w:r w:rsidR="00226C8A" w:rsidRPr="003F7CB0">
              <w:rPr>
                <w:rFonts w:hint="eastAsia"/>
                <w:bCs/>
                <w:color w:val="000000"/>
                <w:kern w:val="0"/>
                <w:sz w:val="24"/>
                <w:lang w:bidi="ar-AE"/>
              </w:rPr>
              <w:t>单独控制南京万优</w:t>
            </w:r>
            <w:r w:rsidRPr="003F7CB0">
              <w:rPr>
                <w:bCs/>
                <w:color w:val="000000"/>
                <w:kern w:val="0"/>
                <w:sz w:val="24"/>
                <w:lang w:bidi="ar-AE"/>
              </w:rPr>
              <w:t>。</w:t>
            </w:r>
          </w:p>
        </w:tc>
      </w:tr>
      <w:tr w:rsidR="000E7D7A" w:rsidRPr="003F7CB0" w14:paraId="439A8542" w14:textId="77777777">
        <w:trPr>
          <w:trHeight w:val="942"/>
        </w:trPr>
        <w:tc>
          <w:tcPr>
            <w:tcW w:w="1940" w:type="dxa"/>
            <w:vMerge w:val="restart"/>
            <w:shd w:val="clear" w:color="auto" w:fill="D9D9D9"/>
            <w:vAlign w:val="center"/>
          </w:tcPr>
          <w:p w14:paraId="41D88F4F" w14:textId="77777777"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t>参与集中的经营者简介（每个限</w:t>
            </w:r>
            <w:r w:rsidRPr="003F7CB0">
              <w:rPr>
                <w:rFonts w:cs="Times New Roman"/>
                <w:bCs/>
                <w:color w:val="000000"/>
                <w:lang w:val="en-US" w:eastAsia="zh-CN"/>
              </w:rPr>
              <w:t>100</w:t>
            </w:r>
            <w:r w:rsidRPr="003F7CB0">
              <w:rPr>
                <w:rFonts w:cs="Times New Roman"/>
                <w:bCs/>
                <w:color w:val="000000"/>
                <w:lang w:val="en-US" w:eastAsia="zh-CN"/>
              </w:rPr>
              <w:t>字以内</w:t>
            </w:r>
            <w:r w:rsidRPr="003F7CB0">
              <w:rPr>
                <w:rFonts w:cs="Times New Roman"/>
                <w:bCs/>
                <w:color w:val="000000"/>
                <w:lang w:eastAsia="zh-CN"/>
              </w:rPr>
              <w:t>）</w:t>
            </w:r>
          </w:p>
        </w:tc>
        <w:tc>
          <w:tcPr>
            <w:tcW w:w="1607" w:type="dxa"/>
            <w:vAlign w:val="center"/>
          </w:tcPr>
          <w:p w14:paraId="2BFEA257" w14:textId="6C9972E1" w:rsidR="000E7D7A" w:rsidRPr="003F7CB0" w:rsidRDefault="00000000">
            <w:pPr>
              <w:pStyle w:val="a3"/>
              <w:adjustRightInd w:val="0"/>
              <w:snapToGrid w:val="0"/>
              <w:spacing w:after="0" w:line="240" w:lineRule="auto"/>
              <w:rPr>
                <w:rFonts w:cs="Times New Roman"/>
                <w:bCs/>
                <w:color w:val="000000"/>
                <w:lang w:eastAsia="zh-CN"/>
              </w:rPr>
            </w:pPr>
            <w:r w:rsidRPr="003F7CB0">
              <w:rPr>
                <w:rFonts w:cs="Times New Roman"/>
                <w:bCs/>
                <w:color w:val="000000"/>
                <w:lang w:val="en-US" w:eastAsia="zh-CN"/>
              </w:rPr>
              <w:t>1.</w:t>
            </w:r>
            <w:r w:rsidR="0019520D" w:rsidRPr="003F7CB0">
              <w:rPr>
                <w:rFonts w:cs="Times New Roman"/>
                <w:bCs/>
                <w:color w:val="000000"/>
                <w:lang w:eastAsia="zh-CN"/>
              </w:rPr>
              <w:t>万辰集团</w:t>
            </w:r>
          </w:p>
        </w:tc>
        <w:tc>
          <w:tcPr>
            <w:tcW w:w="6093" w:type="dxa"/>
            <w:vAlign w:val="center"/>
          </w:tcPr>
          <w:p w14:paraId="2FE33A0D" w14:textId="07847172" w:rsidR="000E7D7A" w:rsidRPr="003F7CB0" w:rsidRDefault="0019520D">
            <w:pPr>
              <w:widowControl/>
              <w:adjustRightInd w:val="0"/>
              <w:snapToGrid w:val="0"/>
              <w:spacing w:after="0" w:line="240" w:lineRule="auto"/>
              <w:rPr>
                <w:kern w:val="0"/>
                <w:sz w:val="24"/>
                <w:lang w:val="en-GB" w:bidi="ar-AE"/>
              </w:rPr>
            </w:pPr>
            <w:r w:rsidRPr="003F7CB0">
              <w:rPr>
                <w:bCs/>
                <w:color w:val="000000"/>
                <w:kern w:val="0"/>
                <w:sz w:val="24"/>
                <w:lang w:bidi="ar-AE"/>
              </w:rPr>
              <w:t>万辰集团</w:t>
            </w:r>
            <w:r w:rsidRPr="003F7CB0">
              <w:rPr>
                <w:kern w:val="0"/>
                <w:sz w:val="24"/>
                <w:lang w:val="en-GB" w:bidi="ar-AE"/>
              </w:rPr>
              <w:t>于</w:t>
            </w:r>
            <w:r w:rsidRPr="003F7CB0">
              <w:rPr>
                <w:kern w:val="0"/>
                <w:sz w:val="24"/>
                <w:lang w:bidi="ar-AE"/>
              </w:rPr>
              <w:t>2011</w:t>
            </w:r>
            <w:r w:rsidRPr="003F7CB0">
              <w:rPr>
                <w:kern w:val="0"/>
                <w:sz w:val="24"/>
                <w:lang w:val="en-GB" w:bidi="ar-AE"/>
              </w:rPr>
              <w:t>年</w:t>
            </w:r>
            <w:r w:rsidRPr="003F7CB0">
              <w:rPr>
                <w:kern w:val="0"/>
                <w:sz w:val="24"/>
                <w:lang w:bidi="ar-AE"/>
              </w:rPr>
              <w:t>12</w:t>
            </w:r>
            <w:r w:rsidRPr="003F7CB0">
              <w:rPr>
                <w:kern w:val="0"/>
                <w:sz w:val="24"/>
                <w:lang w:val="en-GB" w:bidi="ar-AE"/>
              </w:rPr>
              <w:t>月</w:t>
            </w:r>
            <w:r w:rsidRPr="003F7CB0">
              <w:rPr>
                <w:kern w:val="0"/>
                <w:sz w:val="24"/>
                <w:lang w:bidi="ar-AE"/>
              </w:rPr>
              <w:t>21</w:t>
            </w:r>
            <w:r w:rsidRPr="003F7CB0">
              <w:rPr>
                <w:kern w:val="0"/>
                <w:sz w:val="24"/>
                <w:lang w:val="en-GB" w:bidi="ar-AE"/>
              </w:rPr>
              <w:t>日成立于</w:t>
            </w:r>
            <w:r w:rsidRPr="003F7CB0">
              <w:rPr>
                <w:kern w:val="0"/>
                <w:sz w:val="24"/>
                <w:lang w:bidi="ar-AE"/>
              </w:rPr>
              <w:t>福建省漳州市</w:t>
            </w:r>
            <w:r w:rsidRPr="003F7CB0">
              <w:rPr>
                <w:kern w:val="0"/>
                <w:sz w:val="24"/>
                <w:lang w:val="en-GB" w:bidi="ar-AE"/>
              </w:rPr>
              <w:t>，为</w:t>
            </w:r>
            <w:r w:rsidRPr="003F7CB0">
              <w:rPr>
                <w:kern w:val="0"/>
                <w:sz w:val="24"/>
                <w:lang w:bidi="ar-AE"/>
              </w:rPr>
              <w:t>深圳证券交易所上市公司，</w:t>
            </w:r>
            <w:r w:rsidRPr="003F7CB0">
              <w:rPr>
                <w:kern w:val="0"/>
                <w:sz w:val="24"/>
                <w:lang w:val="en-GB" w:bidi="ar-AE"/>
              </w:rPr>
              <w:t>主要业务为休闲食品饮料零售和食用菌研发、工厂化培育与销售等。</w:t>
            </w:r>
          </w:p>
          <w:p w14:paraId="3B36E275" w14:textId="0B5A6912" w:rsidR="000E7D7A" w:rsidRPr="003F7CB0" w:rsidRDefault="0019520D">
            <w:pPr>
              <w:pStyle w:val="a3"/>
              <w:adjustRightInd w:val="0"/>
              <w:snapToGrid w:val="0"/>
              <w:spacing w:after="0" w:line="240" w:lineRule="auto"/>
              <w:rPr>
                <w:rFonts w:cs="Times New Roman"/>
                <w:bCs/>
                <w:color w:val="000000"/>
                <w:lang w:eastAsia="zh-CN"/>
              </w:rPr>
            </w:pPr>
            <w:r w:rsidRPr="003F7CB0">
              <w:rPr>
                <w:rFonts w:cs="Times New Roman"/>
                <w:lang w:eastAsia="zh-CN"/>
              </w:rPr>
              <w:t>万辰集团最终控制人为</w:t>
            </w:r>
            <w:r w:rsidRPr="003F7CB0">
              <w:rPr>
                <w:rFonts w:cs="Times New Roman"/>
                <w:lang w:val="en-US" w:eastAsia="zh-CN"/>
              </w:rPr>
              <w:t>自然人，主要业务为休闲食品饮料零售业务与食用菌业务</w:t>
            </w:r>
            <w:r w:rsidRPr="003F7CB0">
              <w:rPr>
                <w:rFonts w:cs="Times New Roman"/>
                <w:lang w:eastAsia="zh-CN"/>
              </w:rPr>
              <w:t>。</w:t>
            </w:r>
          </w:p>
        </w:tc>
      </w:tr>
      <w:tr w:rsidR="000E7D7A" w:rsidRPr="003F7CB0" w14:paraId="3B53BEF6" w14:textId="77777777">
        <w:trPr>
          <w:trHeight w:val="984"/>
        </w:trPr>
        <w:tc>
          <w:tcPr>
            <w:tcW w:w="1940" w:type="dxa"/>
            <w:vMerge/>
            <w:shd w:val="clear" w:color="auto" w:fill="D9D9D9"/>
            <w:vAlign w:val="center"/>
          </w:tcPr>
          <w:p w14:paraId="19F71E41"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1607" w:type="dxa"/>
            <w:vAlign w:val="center"/>
          </w:tcPr>
          <w:p w14:paraId="7E57B172" w14:textId="6DA27869" w:rsidR="000E7D7A" w:rsidRPr="003F7CB0" w:rsidRDefault="00000000" w:rsidP="0019520D">
            <w:pPr>
              <w:pStyle w:val="a3"/>
              <w:adjustRightInd w:val="0"/>
              <w:snapToGrid w:val="0"/>
              <w:spacing w:after="0" w:line="240" w:lineRule="auto"/>
              <w:rPr>
                <w:rFonts w:cs="Times New Roman"/>
                <w:bCs/>
                <w:color w:val="000000"/>
                <w:lang w:eastAsia="zh-CN"/>
              </w:rPr>
            </w:pPr>
            <w:r w:rsidRPr="003F7CB0">
              <w:rPr>
                <w:rFonts w:cs="Times New Roman"/>
                <w:bCs/>
                <w:color w:val="000000"/>
                <w:lang w:val="en-US" w:eastAsia="zh-CN"/>
              </w:rPr>
              <w:t>2.</w:t>
            </w:r>
            <w:r w:rsidR="0019520D" w:rsidRPr="003F7CB0">
              <w:rPr>
                <w:rFonts w:cs="Times New Roman"/>
                <w:bCs/>
                <w:color w:val="000000"/>
                <w:lang w:eastAsia="zh-CN"/>
              </w:rPr>
              <w:t>南京万优</w:t>
            </w:r>
          </w:p>
        </w:tc>
        <w:tc>
          <w:tcPr>
            <w:tcW w:w="6093" w:type="dxa"/>
            <w:vAlign w:val="center"/>
          </w:tcPr>
          <w:p w14:paraId="4AC5254E" w14:textId="1F14FF8B" w:rsidR="0019520D" w:rsidRPr="003F7CB0" w:rsidRDefault="0019520D" w:rsidP="0019520D">
            <w:pPr>
              <w:widowControl/>
              <w:adjustRightInd w:val="0"/>
              <w:snapToGrid w:val="0"/>
              <w:spacing w:after="0" w:line="240" w:lineRule="auto"/>
              <w:rPr>
                <w:bCs/>
                <w:color w:val="000000"/>
                <w:kern w:val="0"/>
                <w:sz w:val="24"/>
                <w:lang w:bidi="ar-AE"/>
              </w:rPr>
            </w:pPr>
            <w:r w:rsidRPr="003F7CB0">
              <w:rPr>
                <w:bCs/>
                <w:color w:val="000000"/>
                <w:kern w:val="0"/>
                <w:sz w:val="24"/>
                <w:lang w:bidi="ar-AE"/>
              </w:rPr>
              <w:t>南京万优于</w:t>
            </w:r>
            <w:r w:rsidRPr="003F7CB0">
              <w:rPr>
                <w:bCs/>
                <w:color w:val="000000"/>
                <w:kern w:val="0"/>
                <w:sz w:val="24"/>
                <w:lang w:bidi="ar-AE"/>
              </w:rPr>
              <w:t>2022</w:t>
            </w:r>
            <w:r w:rsidRPr="003F7CB0">
              <w:rPr>
                <w:bCs/>
                <w:color w:val="000000"/>
                <w:kern w:val="0"/>
                <w:sz w:val="24"/>
                <w:lang w:bidi="ar-AE"/>
              </w:rPr>
              <w:t>年</w:t>
            </w:r>
            <w:r w:rsidRPr="003F7CB0">
              <w:rPr>
                <w:bCs/>
                <w:color w:val="000000"/>
                <w:kern w:val="0"/>
                <w:sz w:val="24"/>
                <w:lang w:bidi="ar-AE"/>
              </w:rPr>
              <w:t>12</w:t>
            </w:r>
            <w:r w:rsidRPr="003F7CB0">
              <w:rPr>
                <w:bCs/>
                <w:color w:val="000000"/>
                <w:kern w:val="0"/>
                <w:sz w:val="24"/>
                <w:lang w:bidi="ar-AE"/>
              </w:rPr>
              <w:t>月</w:t>
            </w:r>
            <w:r w:rsidRPr="003F7CB0">
              <w:rPr>
                <w:bCs/>
                <w:color w:val="000000"/>
                <w:kern w:val="0"/>
                <w:sz w:val="24"/>
                <w:lang w:bidi="ar-AE"/>
              </w:rPr>
              <w:t>27</w:t>
            </w:r>
            <w:r w:rsidRPr="003F7CB0">
              <w:rPr>
                <w:bCs/>
                <w:color w:val="000000"/>
                <w:kern w:val="0"/>
                <w:sz w:val="24"/>
                <w:lang w:bidi="ar-AE"/>
              </w:rPr>
              <w:t>日成立于江苏省南京市，主要业务为休闲食品饮料零售等。</w:t>
            </w:r>
          </w:p>
          <w:p w14:paraId="6A0ACC7D" w14:textId="5974D4A0" w:rsidR="000E7D7A" w:rsidRPr="003F7CB0" w:rsidRDefault="00CB7DE2" w:rsidP="0019520D">
            <w:pPr>
              <w:widowControl/>
              <w:adjustRightInd w:val="0"/>
              <w:snapToGrid w:val="0"/>
              <w:spacing w:after="0" w:line="240" w:lineRule="auto"/>
              <w:rPr>
                <w:bCs/>
                <w:color w:val="000000"/>
                <w:kern w:val="0"/>
                <w:sz w:val="24"/>
                <w:lang w:bidi="ar-AE"/>
              </w:rPr>
            </w:pPr>
            <w:r w:rsidRPr="003F7CB0">
              <w:rPr>
                <w:bCs/>
                <w:color w:val="000000"/>
                <w:kern w:val="0"/>
                <w:sz w:val="24"/>
                <w:lang w:bidi="ar-AE"/>
              </w:rPr>
              <w:t>南京万优</w:t>
            </w:r>
            <w:r w:rsidR="0019520D" w:rsidRPr="003F7CB0">
              <w:rPr>
                <w:bCs/>
                <w:color w:val="000000"/>
                <w:kern w:val="0"/>
                <w:sz w:val="24"/>
                <w:lang w:bidi="ar-AE"/>
              </w:rPr>
              <w:t>最终控制人为</w:t>
            </w:r>
            <w:r w:rsidR="0008278B" w:rsidRPr="003F7CB0">
              <w:rPr>
                <w:rFonts w:hint="eastAsia"/>
                <w:bCs/>
                <w:color w:val="000000"/>
                <w:kern w:val="0"/>
                <w:sz w:val="24"/>
                <w:lang w:bidi="ar-AE"/>
              </w:rPr>
              <w:t>两</w:t>
            </w:r>
            <w:r w:rsidR="003F7CB0">
              <w:rPr>
                <w:rFonts w:hint="eastAsia"/>
                <w:bCs/>
                <w:color w:val="000000"/>
                <w:kern w:val="0"/>
                <w:sz w:val="24"/>
                <w:lang w:bidi="ar-AE"/>
              </w:rPr>
              <w:t>名</w:t>
            </w:r>
            <w:r w:rsidR="0019520D" w:rsidRPr="003F7CB0">
              <w:rPr>
                <w:bCs/>
                <w:color w:val="000000"/>
                <w:kern w:val="0"/>
                <w:sz w:val="24"/>
                <w:lang w:bidi="ar-AE"/>
              </w:rPr>
              <w:t>自然人，</w:t>
            </w:r>
            <w:r w:rsidR="00316CC0" w:rsidRPr="003F7CB0">
              <w:rPr>
                <w:rFonts w:hint="eastAsia"/>
                <w:bCs/>
                <w:color w:val="000000"/>
                <w:kern w:val="0"/>
                <w:sz w:val="24"/>
                <w:lang w:bidi="ar-AE"/>
              </w:rPr>
              <w:t>其中一名自然人的</w:t>
            </w:r>
            <w:r w:rsidR="0019520D" w:rsidRPr="003F7CB0">
              <w:rPr>
                <w:bCs/>
                <w:color w:val="000000"/>
                <w:kern w:val="0"/>
                <w:sz w:val="24"/>
                <w:lang w:bidi="ar-AE"/>
              </w:rPr>
              <w:t>主要业务为休闲食品饮料零售业务与食用菌业务</w:t>
            </w:r>
            <w:r w:rsidR="00316CC0" w:rsidRPr="003F7CB0">
              <w:rPr>
                <w:rFonts w:hint="eastAsia"/>
                <w:bCs/>
                <w:color w:val="000000"/>
                <w:kern w:val="0"/>
                <w:sz w:val="24"/>
                <w:lang w:bidi="ar-AE"/>
              </w:rPr>
              <w:t>，另一名自然人的主要业务为休闲食品饮料零售业务</w:t>
            </w:r>
            <w:r w:rsidR="0019520D" w:rsidRPr="003F7CB0">
              <w:rPr>
                <w:bCs/>
                <w:color w:val="000000"/>
                <w:kern w:val="0"/>
                <w:sz w:val="24"/>
                <w:lang w:bidi="ar-AE"/>
              </w:rPr>
              <w:t>。</w:t>
            </w:r>
          </w:p>
        </w:tc>
      </w:tr>
      <w:tr w:rsidR="000E7D7A" w:rsidRPr="003F7CB0" w14:paraId="549706F5" w14:textId="77777777">
        <w:trPr>
          <w:trHeight w:val="279"/>
        </w:trPr>
        <w:tc>
          <w:tcPr>
            <w:tcW w:w="1940" w:type="dxa"/>
            <w:vMerge w:val="restart"/>
            <w:shd w:val="clear" w:color="auto" w:fill="D9D9D9"/>
            <w:vAlign w:val="center"/>
          </w:tcPr>
          <w:p w14:paraId="16D1BE42" w14:textId="77777777"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t>简易案件理由（可以单选，也可以多选）</w:t>
            </w:r>
          </w:p>
        </w:tc>
        <w:tc>
          <w:tcPr>
            <w:tcW w:w="7700" w:type="dxa"/>
            <w:gridSpan w:val="2"/>
            <w:vAlign w:val="center"/>
          </w:tcPr>
          <w:p w14:paraId="077CAA1E" w14:textId="1BBF4378"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FE"/>
            </w:r>
            <w:r w:rsidRPr="003F7CB0">
              <w:rPr>
                <w:rFonts w:cs="Times New Roman"/>
                <w:bCs/>
                <w:color w:val="000000"/>
                <w:lang w:eastAsia="zh-CN"/>
              </w:rPr>
              <w:t xml:space="preserve"> 1</w:t>
            </w:r>
            <w:r w:rsidR="00C95125" w:rsidRPr="003F7CB0">
              <w:rPr>
                <w:rFonts w:cs="Times New Roman"/>
                <w:bCs/>
                <w:color w:val="000000"/>
                <w:lang w:eastAsia="zh-CN"/>
              </w:rPr>
              <w:t>.</w:t>
            </w:r>
            <w:r w:rsidRPr="003F7CB0">
              <w:rPr>
                <w:rFonts w:cs="Times New Roman"/>
                <w:bCs/>
                <w:color w:val="000000"/>
                <w:lang w:eastAsia="zh-CN"/>
              </w:rPr>
              <w:t>在同一相关市场，参与集中的经营者所占市场份额之和小于</w:t>
            </w:r>
            <w:r w:rsidRPr="003F7CB0">
              <w:rPr>
                <w:rFonts w:cs="Times New Roman"/>
                <w:bCs/>
                <w:color w:val="000000"/>
                <w:lang w:eastAsia="zh-CN"/>
              </w:rPr>
              <w:t>15%</w:t>
            </w:r>
            <w:r w:rsidRPr="003F7CB0">
              <w:rPr>
                <w:rFonts w:cs="Times New Roman"/>
                <w:bCs/>
                <w:color w:val="000000"/>
                <w:lang w:eastAsia="zh-CN"/>
              </w:rPr>
              <w:t>。</w:t>
            </w:r>
          </w:p>
        </w:tc>
      </w:tr>
      <w:tr w:rsidR="000E7D7A" w:rsidRPr="003F7CB0" w14:paraId="0918B3C4" w14:textId="77777777">
        <w:trPr>
          <w:trHeight w:val="330"/>
        </w:trPr>
        <w:tc>
          <w:tcPr>
            <w:tcW w:w="1940" w:type="dxa"/>
            <w:vMerge/>
            <w:shd w:val="clear" w:color="auto" w:fill="D9D9D9"/>
            <w:vAlign w:val="center"/>
          </w:tcPr>
          <w:p w14:paraId="40F2B879"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7700" w:type="dxa"/>
            <w:gridSpan w:val="2"/>
            <w:vAlign w:val="center"/>
          </w:tcPr>
          <w:p w14:paraId="3A9BE122" w14:textId="0B29978A" w:rsidR="000E7D7A" w:rsidRPr="003F7CB0" w:rsidRDefault="0019520D">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A8"/>
            </w:r>
            <w:r w:rsidRPr="003F7CB0">
              <w:rPr>
                <w:rFonts w:cs="Times New Roman"/>
                <w:bCs/>
                <w:color w:val="000000"/>
                <w:lang w:eastAsia="zh-CN"/>
              </w:rPr>
              <w:t xml:space="preserve"> 2</w:t>
            </w:r>
            <w:r w:rsidR="00C95125" w:rsidRPr="003F7CB0">
              <w:rPr>
                <w:rFonts w:cs="Times New Roman"/>
                <w:bCs/>
                <w:color w:val="000000"/>
                <w:lang w:eastAsia="zh-CN"/>
              </w:rPr>
              <w:t>.</w:t>
            </w:r>
            <w:r w:rsidRPr="003F7CB0">
              <w:rPr>
                <w:rFonts w:cs="Times New Roman"/>
                <w:bCs/>
                <w:color w:val="000000"/>
                <w:lang w:eastAsia="zh-CN"/>
              </w:rPr>
              <w:t>在上下游</w:t>
            </w:r>
            <w:r w:rsidR="00C95125" w:rsidRPr="003F7CB0">
              <w:rPr>
                <w:rFonts w:cs="Times New Roman"/>
                <w:bCs/>
                <w:color w:val="000000"/>
                <w:lang w:eastAsia="zh-CN"/>
              </w:rPr>
              <w:t>市场，</w:t>
            </w:r>
            <w:r w:rsidRPr="003F7CB0">
              <w:rPr>
                <w:rFonts w:cs="Times New Roman"/>
                <w:bCs/>
                <w:color w:val="000000"/>
                <w:lang w:eastAsia="zh-CN"/>
              </w:rPr>
              <w:t>参与集中的经营者所占的市场份额均小于</w:t>
            </w:r>
            <w:r w:rsidRPr="003F7CB0">
              <w:rPr>
                <w:rFonts w:cs="Times New Roman"/>
                <w:bCs/>
                <w:color w:val="000000"/>
                <w:lang w:eastAsia="zh-CN"/>
              </w:rPr>
              <w:t>25%</w:t>
            </w:r>
            <w:r w:rsidRPr="003F7CB0">
              <w:rPr>
                <w:rFonts w:cs="Times New Roman"/>
                <w:bCs/>
                <w:color w:val="000000"/>
                <w:lang w:eastAsia="zh-CN"/>
              </w:rPr>
              <w:t>。</w:t>
            </w:r>
          </w:p>
        </w:tc>
      </w:tr>
      <w:tr w:rsidR="000E7D7A" w:rsidRPr="003F7CB0" w14:paraId="47190BED" w14:textId="77777777">
        <w:trPr>
          <w:trHeight w:val="285"/>
        </w:trPr>
        <w:tc>
          <w:tcPr>
            <w:tcW w:w="1940" w:type="dxa"/>
            <w:vMerge/>
            <w:shd w:val="clear" w:color="auto" w:fill="D9D9D9"/>
            <w:vAlign w:val="center"/>
          </w:tcPr>
          <w:p w14:paraId="13B51496"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7700" w:type="dxa"/>
            <w:gridSpan w:val="2"/>
            <w:vAlign w:val="center"/>
          </w:tcPr>
          <w:p w14:paraId="24E382AE" w14:textId="55B4E56A"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A8"/>
            </w:r>
            <w:r w:rsidRPr="003F7CB0">
              <w:rPr>
                <w:rFonts w:cs="Times New Roman"/>
                <w:bCs/>
                <w:color w:val="000000"/>
                <w:lang w:eastAsia="zh-CN"/>
              </w:rPr>
              <w:t xml:space="preserve"> 3</w:t>
            </w:r>
            <w:r w:rsidR="00C95125" w:rsidRPr="003F7CB0">
              <w:rPr>
                <w:rFonts w:cs="Times New Roman"/>
                <w:bCs/>
                <w:color w:val="000000"/>
                <w:lang w:eastAsia="zh-CN"/>
              </w:rPr>
              <w:t>.</w:t>
            </w:r>
            <w:r w:rsidRPr="003F7CB0">
              <w:rPr>
                <w:rFonts w:cs="Times New Roman"/>
                <w:bCs/>
                <w:color w:val="000000"/>
                <w:lang w:eastAsia="zh-CN"/>
              </w:rPr>
              <w:t>不在同一相关市场也不存在上下游关系的参与集中的经营者，在与交易有关的每个市场所占的</w:t>
            </w:r>
            <w:r w:rsidR="007457BF" w:rsidRPr="003F7CB0">
              <w:rPr>
                <w:rFonts w:cs="Times New Roman"/>
                <w:bCs/>
                <w:color w:val="000000"/>
                <w:lang w:eastAsia="zh-CN"/>
              </w:rPr>
              <w:t>市场</w:t>
            </w:r>
            <w:r w:rsidRPr="003F7CB0">
              <w:rPr>
                <w:rFonts w:cs="Times New Roman"/>
                <w:bCs/>
                <w:color w:val="000000"/>
                <w:lang w:eastAsia="zh-CN"/>
              </w:rPr>
              <w:t>份额均小于</w:t>
            </w:r>
            <w:r w:rsidRPr="003F7CB0">
              <w:rPr>
                <w:rFonts w:cs="Times New Roman"/>
                <w:bCs/>
                <w:color w:val="000000"/>
                <w:lang w:eastAsia="zh-CN"/>
              </w:rPr>
              <w:t>25%</w:t>
            </w:r>
            <w:r w:rsidRPr="003F7CB0">
              <w:rPr>
                <w:rFonts w:cs="Times New Roman"/>
                <w:bCs/>
                <w:color w:val="000000"/>
                <w:lang w:eastAsia="zh-CN"/>
              </w:rPr>
              <w:t>。</w:t>
            </w:r>
          </w:p>
        </w:tc>
      </w:tr>
      <w:tr w:rsidR="000E7D7A" w:rsidRPr="003F7CB0" w14:paraId="01FABD75" w14:textId="77777777">
        <w:trPr>
          <w:trHeight w:val="870"/>
        </w:trPr>
        <w:tc>
          <w:tcPr>
            <w:tcW w:w="1940" w:type="dxa"/>
            <w:vMerge/>
            <w:shd w:val="clear" w:color="auto" w:fill="D9D9D9"/>
            <w:vAlign w:val="center"/>
          </w:tcPr>
          <w:p w14:paraId="26EB5E36"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7700" w:type="dxa"/>
            <w:gridSpan w:val="2"/>
            <w:vAlign w:val="center"/>
          </w:tcPr>
          <w:p w14:paraId="2E8A12AA" w14:textId="17D1F451"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A8"/>
            </w:r>
            <w:r w:rsidRPr="003F7CB0">
              <w:rPr>
                <w:rFonts w:cs="Times New Roman"/>
                <w:bCs/>
                <w:color w:val="000000"/>
                <w:lang w:eastAsia="zh-CN"/>
              </w:rPr>
              <w:t xml:space="preserve"> 4</w:t>
            </w:r>
            <w:r w:rsidR="00C95125" w:rsidRPr="003F7CB0">
              <w:rPr>
                <w:rFonts w:cs="Times New Roman"/>
                <w:bCs/>
                <w:color w:val="000000"/>
                <w:lang w:eastAsia="zh-CN"/>
              </w:rPr>
              <w:t>.</w:t>
            </w:r>
            <w:r w:rsidRPr="003F7CB0">
              <w:rPr>
                <w:rFonts w:cs="Times New Roman"/>
                <w:bCs/>
                <w:color w:val="000000"/>
                <w:lang w:eastAsia="zh-CN"/>
              </w:rPr>
              <w:t>参与集中的经营者在中国境外设立合营企业，合营企业不在中国境内从事经济活动。</w:t>
            </w:r>
          </w:p>
        </w:tc>
      </w:tr>
      <w:tr w:rsidR="000E7D7A" w:rsidRPr="003F7CB0" w14:paraId="276BC799" w14:textId="77777777">
        <w:trPr>
          <w:trHeight w:val="264"/>
        </w:trPr>
        <w:tc>
          <w:tcPr>
            <w:tcW w:w="1940" w:type="dxa"/>
            <w:vMerge/>
            <w:shd w:val="clear" w:color="auto" w:fill="D9D9D9"/>
            <w:vAlign w:val="center"/>
          </w:tcPr>
          <w:p w14:paraId="0B42DFBD"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7700" w:type="dxa"/>
            <w:gridSpan w:val="2"/>
            <w:vAlign w:val="center"/>
          </w:tcPr>
          <w:p w14:paraId="1F8E0BEA" w14:textId="6C9694F9"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A8"/>
            </w:r>
            <w:r w:rsidRPr="003F7CB0">
              <w:rPr>
                <w:rFonts w:cs="Times New Roman"/>
                <w:bCs/>
                <w:color w:val="000000"/>
                <w:lang w:eastAsia="zh-CN"/>
              </w:rPr>
              <w:t xml:space="preserve"> 5</w:t>
            </w:r>
            <w:r w:rsidR="00C95125" w:rsidRPr="003F7CB0">
              <w:rPr>
                <w:rFonts w:cs="Times New Roman"/>
                <w:bCs/>
                <w:color w:val="000000"/>
                <w:lang w:eastAsia="zh-CN"/>
              </w:rPr>
              <w:t>.</w:t>
            </w:r>
            <w:r w:rsidRPr="003F7CB0">
              <w:rPr>
                <w:rFonts w:cs="Times New Roman"/>
                <w:bCs/>
                <w:color w:val="000000"/>
                <w:lang w:eastAsia="zh-CN"/>
              </w:rPr>
              <w:t>参与集中的经营者收购境外企业股权或资产的，该境外企业不在中国境内从事经济活动。</w:t>
            </w:r>
          </w:p>
        </w:tc>
      </w:tr>
      <w:tr w:rsidR="000E7D7A" w:rsidRPr="003F7CB0" w14:paraId="2DF96B80" w14:textId="77777777">
        <w:trPr>
          <w:trHeight w:val="345"/>
        </w:trPr>
        <w:tc>
          <w:tcPr>
            <w:tcW w:w="1940" w:type="dxa"/>
            <w:vMerge/>
            <w:shd w:val="clear" w:color="auto" w:fill="D9D9D9"/>
            <w:vAlign w:val="center"/>
          </w:tcPr>
          <w:p w14:paraId="6CD4FAA1" w14:textId="77777777" w:rsidR="000E7D7A" w:rsidRPr="003F7CB0" w:rsidRDefault="000E7D7A">
            <w:pPr>
              <w:pStyle w:val="a3"/>
              <w:adjustRightInd w:val="0"/>
              <w:snapToGrid w:val="0"/>
              <w:spacing w:after="0" w:line="240" w:lineRule="auto"/>
              <w:rPr>
                <w:rFonts w:cs="Times New Roman"/>
                <w:bCs/>
                <w:color w:val="000000"/>
                <w:lang w:val="en-US" w:eastAsia="zh-CN"/>
              </w:rPr>
            </w:pPr>
          </w:p>
        </w:tc>
        <w:tc>
          <w:tcPr>
            <w:tcW w:w="7700" w:type="dxa"/>
            <w:gridSpan w:val="2"/>
            <w:vAlign w:val="center"/>
          </w:tcPr>
          <w:p w14:paraId="419FE3F8" w14:textId="2C52766E" w:rsidR="000E7D7A" w:rsidRPr="003F7CB0" w:rsidRDefault="004B6E6B">
            <w:pPr>
              <w:pStyle w:val="a3"/>
              <w:adjustRightInd w:val="0"/>
              <w:snapToGrid w:val="0"/>
              <w:spacing w:after="0" w:line="240" w:lineRule="auto"/>
              <w:rPr>
                <w:rFonts w:cs="Times New Roman"/>
                <w:bCs/>
                <w:color w:val="000000"/>
                <w:lang w:val="en-US" w:eastAsia="zh-CN"/>
              </w:rPr>
            </w:pPr>
            <w:r w:rsidRPr="003F7CB0">
              <w:rPr>
                <w:rFonts w:cs="Times New Roman"/>
                <w:bCs/>
                <w:color w:val="000000"/>
                <w:lang w:eastAsia="zh-CN"/>
              </w:rPr>
              <w:sym w:font="Wingdings" w:char="00FE"/>
            </w:r>
            <w:r w:rsidRPr="003F7CB0">
              <w:rPr>
                <w:rFonts w:cs="Times New Roman"/>
                <w:bCs/>
                <w:color w:val="000000"/>
                <w:lang w:eastAsia="zh-CN"/>
              </w:rPr>
              <w:t xml:space="preserve"> 6</w:t>
            </w:r>
            <w:r w:rsidR="00C95125" w:rsidRPr="003F7CB0">
              <w:rPr>
                <w:rFonts w:cs="Times New Roman"/>
                <w:bCs/>
                <w:color w:val="000000"/>
                <w:lang w:eastAsia="zh-CN"/>
              </w:rPr>
              <w:t>.</w:t>
            </w:r>
            <w:r w:rsidRPr="003F7CB0">
              <w:rPr>
                <w:rFonts w:cs="Times New Roman"/>
                <w:bCs/>
                <w:color w:val="000000"/>
                <w:lang w:eastAsia="zh-CN"/>
              </w:rPr>
              <w:t>由两个以上的经营者共同控制的合营企业，通过集中被其中一个或一个以上经营者控制。</w:t>
            </w:r>
          </w:p>
        </w:tc>
      </w:tr>
      <w:tr w:rsidR="000E7D7A" w:rsidRPr="00C175F9" w14:paraId="5340D48B" w14:textId="77777777">
        <w:trPr>
          <w:trHeight w:val="1250"/>
        </w:trPr>
        <w:tc>
          <w:tcPr>
            <w:tcW w:w="1940" w:type="dxa"/>
            <w:shd w:val="clear" w:color="auto" w:fill="D9D9D9"/>
            <w:vAlign w:val="center"/>
          </w:tcPr>
          <w:p w14:paraId="549DCF23" w14:textId="77777777" w:rsidR="000E7D7A" w:rsidRPr="003F7CB0" w:rsidRDefault="00000000">
            <w:pPr>
              <w:pStyle w:val="a3"/>
              <w:adjustRightInd w:val="0"/>
              <w:snapToGrid w:val="0"/>
              <w:spacing w:after="0" w:line="240" w:lineRule="auto"/>
              <w:rPr>
                <w:rFonts w:cs="Times New Roman"/>
                <w:bCs/>
                <w:color w:val="000000"/>
                <w:lang w:val="en-US" w:eastAsia="zh-CN"/>
              </w:rPr>
            </w:pPr>
            <w:r w:rsidRPr="003F7CB0">
              <w:rPr>
                <w:rFonts w:cs="Times New Roman"/>
                <w:bCs/>
                <w:color w:val="000000"/>
                <w:lang w:val="en-US" w:eastAsia="zh-CN"/>
              </w:rPr>
              <w:t>备注</w:t>
            </w:r>
          </w:p>
        </w:tc>
        <w:tc>
          <w:tcPr>
            <w:tcW w:w="7700" w:type="dxa"/>
            <w:gridSpan w:val="2"/>
            <w:vAlign w:val="center"/>
          </w:tcPr>
          <w:p w14:paraId="4520500D" w14:textId="77777777" w:rsidR="000E7D7A" w:rsidRPr="003F7CB0" w:rsidRDefault="00000000">
            <w:pPr>
              <w:pStyle w:val="a3"/>
              <w:adjustRightInd w:val="0"/>
              <w:snapToGrid w:val="0"/>
              <w:spacing w:after="0" w:line="240" w:lineRule="auto"/>
              <w:rPr>
                <w:rFonts w:cs="Times New Roman"/>
                <w:b/>
                <w:color w:val="000000"/>
                <w:lang w:eastAsia="zh-CN"/>
              </w:rPr>
            </w:pPr>
            <w:r w:rsidRPr="003F7CB0">
              <w:rPr>
                <w:rFonts w:cs="Times New Roman"/>
                <w:b/>
                <w:color w:val="000000"/>
                <w:lang w:eastAsia="zh-CN"/>
              </w:rPr>
              <w:t>横向重叠：</w:t>
            </w:r>
          </w:p>
          <w:p w14:paraId="03ABD081" w14:textId="2E560DBC" w:rsidR="000E7D7A" w:rsidRPr="003F7CB0" w:rsidRDefault="0019520D">
            <w:pPr>
              <w:pStyle w:val="a3"/>
              <w:adjustRightInd w:val="0"/>
              <w:snapToGrid w:val="0"/>
              <w:spacing w:after="0" w:line="240" w:lineRule="auto"/>
              <w:rPr>
                <w:rFonts w:cs="Times New Roman"/>
                <w:bCs/>
                <w:color w:val="000000"/>
                <w:lang w:val="en-US" w:eastAsia="zh-CN"/>
              </w:rPr>
            </w:pPr>
            <w:r w:rsidRPr="003F7CB0">
              <w:rPr>
                <w:rFonts w:cs="Times New Roman"/>
                <w:bCs/>
                <w:color w:val="000000"/>
                <w:lang w:val="en-US" w:eastAsia="zh-CN"/>
              </w:rPr>
              <w:t>2024</w:t>
            </w:r>
            <w:r w:rsidR="00C95125" w:rsidRPr="003F7CB0">
              <w:rPr>
                <w:rFonts w:cs="Times New Roman"/>
                <w:bCs/>
                <w:color w:val="000000"/>
                <w:lang w:val="en-US" w:eastAsia="zh-CN"/>
              </w:rPr>
              <w:t>年</w:t>
            </w:r>
            <w:r w:rsidR="00C95125" w:rsidRPr="003F7CB0">
              <w:rPr>
                <w:rFonts w:cs="Times New Roman"/>
                <w:bCs/>
                <w:color w:val="000000"/>
                <w:lang w:eastAsia="zh-CN"/>
              </w:rPr>
              <w:t>中国境内</w:t>
            </w:r>
            <w:r w:rsidRPr="003F7CB0">
              <w:rPr>
                <w:rFonts w:cs="Times New Roman"/>
                <w:bCs/>
                <w:color w:val="000000"/>
                <w:lang w:val="en-US" w:eastAsia="zh-CN"/>
              </w:rPr>
              <w:t>休闲食品饮料零售</w:t>
            </w:r>
            <w:r w:rsidR="00C95125" w:rsidRPr="003F7CB0">
              <w:rPr>
                <w:rFonts w:cs="Times New Roman"/>
                <w:bCs/>
                <w:color w:val="000000"/>
                <w:lang w:val="en-US" w:eastAsia="zh-CN"/>
              </w:rPr>
              <w:t>市场</w:t>
            </w:r>
            <w:r w:rsidRPr="003F7CB0">
              <w:rPr>
                <w:rFonts w:cs="Times New Roman"/>
                <w:bCs/>
                <w:color w:val="000000"/>
                <w:lang w:val="en-US" w:eastAsia="zh-CN"/>
              </w:rPr>
              <w:t>：</w:t>
            </w:r>
          </w:p>
          <w:p w14:paraId="1993B985" w14:textId="104DE1C0" w:rsidR="000E7D7A" w:rsidRPr="00C175F9" w:rsidRDefault="0019520D" w:rsidP="0019520D">
            <w:pPr>
              <w:pStyle w:val="a3"/>
              <w:adjustRightInd w:val="0"/>
              <w:snapToGrid w:val="0"/>
              <w:spacing w:after="0" w:line="240" w:lineRule="auto"/>
              <w:rPr>
                <w:rFonts w:cs="Times New Roman"/>
                <w:bCs/>
                <w:color w:val="000000"/>
                <w:lang w:eastAsia="zh-CN"/>
              </w:rPr>
            </w:pPr>
            <w:r w:rsidRPr="003F7CB0">
              <w:rPr>
                <w:rFonts w:cs="Times New Roman"/>
                <w:bCs/>
                <w:color w:val="000000"/>
                <w:lang w:val="en-US" w:eastAsia="zh-CN"/>
              </w:rPr>
              <w:t>万辰集团：</w:t>
            </w:r>
            <w:r w:rsidRPr="003F7CB0">
              <w:rPr>
                <w:rFonts w:cs="Times New Roman"/>
                <w:bCs/>
                <w:color w:val="000000"/>
                <w:lang w:val="en-US" w:eastAsia="zh-CN"/>
              </w:rPr>
              <w:t>0-5%</w:t>
            </w:r>
            <w:r w:rsidRPr="003F7CB0">
              <w:rPr>
                <w:rFonts w:cs="Times New Roman"/>
                <w:bCs/>
                <w:color w:val="000000"/>
                <w:lang w:val="en-US" w:eastAsia="zh-CN"/>
              </w:rPr>
              <w:t>，南京万优</w:t>
            </w:r>
            <w:r w:rsidR="00C95125" w:rsidRPr="003F7CB0">
              <w:rPr>
                <w:rFonts w:cs="Times New Roman"/>
                <w:bCs/>
                <w:color w:val="000000"/>
                <w:lang w:val="en-US" w:eastAsia="zh-CN"/>
              </w:rPr>
              <w:t>：</w:t>
            </w:r>
            <w:r w:rsidRPr="003F7CB0">
              <w:rPr>
                <w:rFonts w:cs="Times New Roman"/>
                <w:bCs/>
                <w:color w:val="000000"/>
                <w:lang w:val="en-US" w:eastAsia="zh-CN"/>
              </w:rPr>
              <w:t>0-5%</w:t>
            </w:r>
            <w:r w:rsidRPr="003F7CB0">
              <w:rPr>
                <w:rFonts w:cs="Times New Roman"/>
                <w:bCs/>
                <w:color w:val="000000"/>
                <w:lang w:val="en-US" w:eastAsia="zh-CN"/>
              </w:rPr>
              <w:t>，各方合计：</w:t>
            </w:r>
            <w:r w:rsidRPr="003F7CB0">
              <w:rPr>
                <w:rFonts w:cs="Times New Roman"/>
                <w:bCs/>
                <w:color w:val="000000"/>
                <w:lang w:val="en-US" w:eastAsia="zh-CN"/>
              </w:rPr>
              <w:t>0-5%</w:t>
            </w:r>
          </w:p>
        </w:tc>
      </w:tr>
    </w:tbl>
    <w:p w14:paraId="7926BF4B" w14:textId="77777777" w:rsidR="000E7D7A" w:rsidRPr="00C175F9" w:rsidRDefault="000E7D7A">
      <w:pPr>
        <w:pStyle w:val="a3"/>
        <w:adjustRightInd w:val="0"/>
        <w:snapToGrid w:val="0"/>
        <w:spacing w:after="0" w:line="240" w:lineRule="auto"/>
        <w:rPr>
          <w:rFonts w:eastAsia="楷体_GB2312" w:cs="Times New Roman"/>
          <w:b/>
          <w:color w:val="000000"/>
          <w:sz w:val="22"/>
          <w:szCs w:val="22"/>
          <w:lang w:eastAsia="zh-CN"/>
        </w:rPr>
      </w:pPr>
    </w:p>
    <w:sectPr w:rsidR="000E7D7A" w:rsidRPr="00C175F9">
      <w:endnotePr>
        <w:numFmt w:val="decimal"/>
      </w:endnotePr>
      <w:pgSz w:w="11906" w:h="16838"/>
      <w:pgMar w:top="1984" w:right="1474" w:bottom="1644" w:left="147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D36E0" w14:textId="77777777" w:rsidR="00DD5D64" w:rsidRDefault="00DD5D64" w:rsidP="00505D2E">
      <w:pPr>
        <w:spacing w:after="0" w:line="240" w:lineRule="auto"/>
      </w:pPr>
      <w:r>
        <w:separator/>
      </w:r>
    </w:p>
  </w:endnote>
  <w:endnote w:type="continuationSeparator" w:id="0">
    <w:p w14:paraId="24763CBF" w14:textId="77777777" w:rsidR="00DD5D64" w:rsidRDefault="00DD5D64" w:rsidP="00505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ESI黑体-GB2312">
    <w:altName w:val="微软雅黑"/>
    <w:charset w:val="86"/>
    <w:family w:val="auto"/>
    <w:pitch w:val="default"/>
    <w:sig w:usb0="00000000" w:usb1="00000000" w:usb2="00000012"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ESI楷体-GB2312">
    <w:charset w:val="86"/>
    <w:family w:val="auto"/>
    <w:pitch w:val="default"/>
    <w:sig w:usb0="00000000" w:usb1="00000000" w:usb2="00000012" w:usb3="00000000" w:csb0="0004000F" w:csb1="00000000"/>
  </w:font>
  <w:font w:name="方正楷体_GBK">
    <w:charset w:val="86"/>
    <w:family w:val="auto"/>
    <w:pitch w:val="default"/>
    <w:sig w:usb0="00000000" w:usb1="00000000" w:usb2="00000000" w:usb3="00000000" w:csb0="00040000" w:csb1="00000000"/>
  </w:font>
  <w:font w:name="Simplified Arabic">
    <w:charset w:val="B2"/>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楷体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1DCA2" w14:textId="77777777" w:rsidR="00DD5D64" w:rsidRDefault="00DD5D64" w:rsidP="00505D2E">
      <w:pPr>
        <w:spacing w:after="0" w:line="240" w:lineRule="auto"/>
      </w:pPr>
      <w:r>
        <w:separator/>
      </w:r>
    </w:p>
  </w:footnote>
  <w:footnote w:type="continuationSeparator" w:id="0">
    <w:p w14:paraId="66B625F2" w14:textId="77777777" w:rsidR="00DD5D64" w:rsidRDefault="00DD5D64" w:rsidP="00505D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FBDD792"/>
    <w:rsid w:val="00177660"/>
    <w:rsid w:val="6FBDD792"/>
    <w:rsid w:val="9F9DCBBF"/>
    <w:rsid w:val="BC3517BA"/>
    <w:rsid w:val="DFBC2832"/>
    <w:rsid w:val="F0CF0FA1"/>
    <w:rsid w:val="F7BD343A"/>
    <w:rsid w:val="FEFED215"/>
    <w:rsid w:val="FEFF3882"/>
    <w:rsid w:val="FFFF7513"/>
    <w:rsid w:val="00041EA7"/>
    <w:rsid w:val="00055D70"/>
    <w:rsid w:val="0008278B"/>
    <w:rsid w:val="000E7D7A"/>
    <w:rsid w:val="00111B0B"/>
    <w:rsid w:val="00136CCD"/>
    <w:rsid w:val="0015304D"/>
    <w:rsid w:val="0019520D"/>
    <w:rsid w:val="0022018F"/>
    <w:rsid w:val="00226C8A"/>
    <w:rsid w:val="002E7E98"/>
    <w:rsid w:val="00316CC0"/>
    <w:rsid w:val="003339ED"/>
    <w:rsid w:val="003F7CB0"/>
    <w:rsid w:val="004B6E6B"/>
    <w:rsid w:val="004B6FF0"/>
    <w:rsid w:val="004E1EFA"/>
    <w:rsid w:val="00505D2E"/>
    <w:rsid w:val="00521D76"/>
    <w:rsid w:val="005224F4"/>
    <w:rsid w:val="005635F4"/>
    <w:rsid w:val="00571338"/>
    <w:rsid w:val="0059311B"/>
    <w:rsid w:val="006F2C11"/>
    <w:rsid w:val="00743FBB"/>
    <w:rsid w:val="007457BF"/>
    <w:rsid w:val="007807BC"/>
    <w:rsid w:val="007C6FCF"/>
    <w:rsid w:val="007E4EB0"/>
    <w:rsid w:val="00804DA6"/>
    <w:rsid w:val="0086541F"/>
    <w:rsid w:val="008B1AA4"/>
    <w:rsid w:val="008B24E5"/>
    <w:rsid w:val="008E6F04"/>
    <w:rsid w:val="008E7825"/>
    <w:rsid w:val="008F2056"/>
    <w:rsid w:val="009F14CF"/>
    <w:rsid w:val="00A106C4"/>
    <w:rsid w:val="00A158E3"/>
    <w:rsid w:val="00A22E00"/>
    <w:rsid w:val="00A864E6"/>
    <w:rsid w:val="00AB0758"/>
    <w:rsid w:val="00B232E1"/>
    <w:rsid w:val="00B5424C"/>
    <w:rsid w:val="00BC46AA"/>
    <w:rsid w:val="00BC52D9"/>
    <w:rsid w:val="00BD648E"/>
    <w:rsid w:val="00C175F9"/>
    <w:rsid w:val="00C95125"/>
    <w:rsid w:val="00CB7DE2"/>
    <w:rsid w:val="00D01389"/>
    <w:rsid w:val="00D81422"/>
    <w:rsid w:val="00DD5D64"/>
    <w:rsid w:val="00DE0B11"/>
    <w:rsid w:val="00E71CA0"/>
    <w:rsid w:val="00F145C4"/>
    <w:rsid w:val="00F165FD"/>
    <w:rsid w:val="00F41368"/>
    <w:rsid w:val="00F911AB"/>
    <w:rsid w:val="00FD7B39"/>
    <w:rsid w:val="49659447"/>
    <w:rsid w:val="6FBDD792"/>
    <w:rsid w:val="74D42207"/>
    <w:rsid w:val="76FE3A0F"/>
    <w:rsid w:val="7FEF3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C8B813"/>
  <w15:docId w15:val="{B91C1734-221B-4601-9E82-CD8358C1D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240" w:lineRule="auto"/>
      <w:jc w:val="center"/>
      <w:outlineLvl w:val="0"/>
    </w:pPr>
    <w:rPr>
      <w:rFonts w:asciiTheme="minorHAnsi" w:eastAsia="CESI黑体-GB2312" w:hAnsiTheme="minorHAnsi"/>
      <w:kern w:val="44"/>
      <w:sz w:val="36"/>
    </w:rPr>
  </w:style>
  <w:style w:type="paragraph" w:styleId="2">
    <w:name w:val="heading 2"/>
    <w:basedOn w:val="a"/>
    <w:next w:val="a"/>
    <w:semiHidden/>
    <w:unhideWhenUsed/>
    <w:qFormat/>
    <w:pPr>
      <w:keepNext/>
      <w:keepLines/>
      <w:spacing w:before="260" w:after="260" w:line="240" w:lineRule="auto"/>
      <w:jc w:val="center"/>
      <w:outlineLvl w:val="1"/>
    </w:pPr>
    <w:rPr>
      <w:rFonts w:ascii="Arial" w:eastAsia="黑体" w:hAnsi="Arial"/>
      <w:sz w:val="32"/>
    </w:rPr>
  </w:style>
  <w:style w:type="paragraph" w:styleId="3">
    <w:name w:val="heading 3"/>
    <w:basedOn w:val="a"/>
    <w:next w:val="a"/>
    <w:semiHidden/>
    <w:unhideWhenUsed/>
    <w:qFormat/>
    <w:pPr>
      <w:keepNext/>
      <w:keepLines/>
      <w:spacing w:before="260" w:after="260" w:line="240" w:lineRule="auto"/>
      <w:jc w:val="center"/>
      <w:outlineLvl w:val="2"/>
    </w:pPr>
    <w:rPr>
      <w:rFonts w:asciiTheme="minorHAnsi" w:eastAsia="CESI楷体-GB2312" w:hAnsiTheme="minorHAnsi"/>
      <w:sz w:val="30"/>
    </w:rPr>
  </w:style>
  <w:style w:type="paragraph" w:styleId="4">
    <w:name w:val="heading 4"/>
    <w:basedOn w:val="a"/>
    <w:next w:val="a"/>
    <w:link w:val="40"/>
    <w:semiHidden/>
    <w:unhideWhenUsed/>
    <w:qFormat/>
    <w:pPr>
      <w:keepNext/>
      <w:keepLines/>
      <w:spacing w:before="280" w:after="290" w:line="240" w:lineRule="auto"/>
      <w:jc w:val="left"/>
      <w:outlineLvl w:val="3"/>
    </w:pPr>
    <w:rPr>
      <w:rFonts w:ascii="Arial" w:eastAsia="方正楷体_GBK" w:hAnsi="Arial"/>
      <w:color w:val="C00000"/>
      <w:sz w:val="28"/>
    </w:rPr>
  </w:style>
  <w:style w:type="paragraph" w:styleId="5">
    <w:name w:val="heading 5"/>
    <w:basedOn w:val="a"/>
    <w:next w:val="a"/>
    <w:semiHidden/>
    <w:unhideWhenUsed/>
    <w:qFormat/>
    <w:pPr>
      <w:keepNext/>
      <w:keepLines/>
      <w:spacing w:before="280" w:after="290" w:line="372" w:lineRule="auto"/>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qFormat/>
    <w:pPr>
      <w:spacing w:after="240"/>
      <w:jc w:val="both"/>
    </w:pPr>
    <w:rPr>
      <w:rFonts w:ascii="Times New Roman" w:eastAsia="宋体" w:hAnsi="Times New Roman" w:cs="Simplified Arabic"/>
      <w:sz w:val="24"/>
      <w:szCs w:val="24"/>
      <w:lang w:val="en-GB" w:eastAsia="en-GB" w:bidi="ar-AE"/>
    </w:rPr>
  </w:style>
  <w:style w:type="table" w:styleId="a4">
    <w:name w:val="Table Gri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customStyle="1" w:styleId="a5">
    <w:name w:val="标题五"/>
    <w:basedOn w:val="5"/>
    <w:next w:val="a"/>
    <w:qFormat/>
    <w:rPr>
      <w:rFonts w:ascii="Arial" w:eastAsia="黑体" w:hAnsi="Arial" w:cs="Arial"/>
      <w:b w:val="0"/>
      <w:snapToGrid w:val="0"/>
      <w:color w:val="000000"/>
      <w:kern w:val="0"/>
      <w:sz w:val="21"/>
      <w:szCs w:val="21"/>
    </w:rPr>
  </w:style>
  <w:style w:type="character" w:customStyle="1" w:styleId="40">
    <w:name w:val="标题 4 字符"/>
    <w:link w:val="4"/>
    <w:qFormat/>
    <w:rPr>
      <w:rFonts w:ascii="Arial" w:eastAsia="方正楷体_GBK" w:hAnsi="Arial"/>
      <w:color w:val="C00000"/>
      <w:sz w:val="28"/>
    </w:rPr>
  </w:style>
  <w:style w:type="paragraph" w:styleId="a6">
    <w:name w:val="Revision"/>
    <w:hidden/>
    <w:uiPriority w:val="99"/>
    <w:unhideWhenUsed/>
    <w:rsid w:val="00C95125"/>
    <w:pPr>
      <w:spacing w:after="0" w:line="240" w:lineRule="auto"/>
    </w:pPr>
    <w:rPr>
      <w:rFonts w:ascii="Times New Roman" w:eastAsia="宋体" w:hAnsi="Times New Roman" w:cs="Times New Roman"/>
      <w:kern w:val="2"/>
      <w:sz w:val="21"/>
      <w:szCs w:val="24"/>
    </w:rPr>
  </w:style>
  <w:style w:type="paragraph" w:styleId="a7">
    <w:name w:val="header"/>
    <w:basedOn w:val="a"/>
    <w:link w:val="a8"/>
    <w:rsid w:val="00505D2E"/>
    <w:pPr>
      <w:tabs>
        <w:tab w:val="center" w:pos="4153"/>
        <w:tab w:val="right" w:pos="8306"/>
      </w:tabs>
      <w:snapToGrid w:val="0"/>
      <w:spacing w:line="240" w:lineRule="auto"/>
      <w:jc w:val="center"/>
    </w:pPr>
    <w:rPr>
      <w:sz w:val="18"/>
      <w:szCs w:val="18"/>
    </w:rPr>
  </w:style>
  <w:style w:type="character" w:customStyle="1" w:styleId="a8">
    <w:name w:val="页眉 字符"/>
    <w:basedOn w:val="a0"/>
    <w:link w:val="a7"/>
    <w:rsid w:val="00505D2E"/>
    <w:rPr>
      <w:rFonts w:ascii="Times New Roman" w:eastAsia="宋体" w:hAnsi="Times New Roman" w:cs="Times New Roman"/>
      <w:kern w:val="2"/>
      <w:sz w:val="18"/>
      <w:szCs w:val="18"/>
    </w:rPr>
  </w:style>
  <w:style w:type="paragraph" w:styleId="a9">
    <w:name w:val="footer"/>
    <w:basedOn w:val="a"/>
    <w:link w:val="aa"/>
    <w:rsid w:val="00505D2E"/>
    <w:pPr>
      <w:tabs>
        <w:tab w:val="center" w:pos="4153"/>
        <w:tab w:val="right" w:pos="8306"/>
      </w:tabs>
      <w:snapToGrid w:val="0"/>
      <w:spacing w:line="240" w:lineRule="auto"/>
      <w:jc w:val="left"/>
    </w:pPr>
    <w:rPr>
      <w:sz w:val="18"/>
      <w:szCs w:val="18"/>
    </w:rPr>
  </w:style>
  <w:style w:type="character" w:customStyle="1" w:styleId="aa">
    <w:name w:val="页脚 字符"/>
    <w:basedOn w:val="a0"/>
    <w:link w:val="a9"/>
    <w:rsid w:val="00505D2E"/>
    <w:rPr>
      <w:rFonts w:ascii="Times New Roman" w:eastAsia="宋体" w:hAnsi="Times New Roman" w:cs="Times New Roman"/>
      <w:kern w:val="2"/>
      <w:sz w:val="18"/>
      <w:szCs w:val="18"/>
    </w:rPr>
  </w:style>
  <w:style w:type="character" w:styleId="ab">
    <w:name w:val="annotation reference"/>
    <w:basedOn w:val="a0"/>
    <w:rsid w:val="00D01389"/>
    <w:rPr>
      <w:sz w:val="21"/>
      <w:szCs w:val="21"/>
    </w:rPr>
  </w:style>
  <w:style w:type="paragraph" w:styleId="ac">
    <w:name w:val="annotation text"/>
    <w:basedOn w:val="a"/>
    <w:link w:val="ad"/>
    <w:rsid w:val="00D01389"/>
    <w:pPr>
      <w:jc w:val="left"/>
    </w:pPr>
  </w:style>
  <w:style w:type="character" w:customStyle="1" w:styleId="ad">
    <w:name w:val="批注文字 字符"/>
    <w:basedOn w:val="a0"/>
    <w:link w:val="ac"/>
    <w:rsid w:val="00D01389"/>
    <w:rPr>
      <w:rFonts w:ascii="Times New Roman" w:eastAsia="宋体" w:hAnsi="Times New Roman" w:cs="Times New Roman"/>
      <w:kern w:val="2"/>
      <w:sz w:val="21"/>
      <w:szCs w:val="24"/>
    </w:rPr>
  </w:style>
  <w:style w:type="paragraph" w:styleId="ae">
    <w:name w:val="annotation subject"/>
    <w:basedOn w:val="ac"/>
    <w:next w:val="ac"/>
    <w:link w:val="af"/>
    <w:rsid w:val="00D01389"/>
    <w:rPr>
      <w:b/>
      <w:bCs/>
    </w:rPr>
  </w:style>
  <w:style w:type="character" w:customStyle="1" w:styleId="af">
    <w:name w:val="批注主题 字符"/>
    <w:basedOn w:val="ad"/>
    <w:link w:val="ae"/>
    <w:rsid w:val="00D01389"/>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471</Words>
  <Characters>501</Characters>
  <Application>Microsoft Office Word</Application>
  <DocSecurity>0</DocSecurity>
  <Lines>29</Lines>
  <Paragraphs>26</Paragraphs>
  <ScaleCrop>false</ScaleCrop>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dc:creator>
  <cp:lastModifiedBy>PLY GA_</cp:lastModifiedBy>
  <cp:revision>4</cp:revision>
  <dcterms:created xsi:type="dcterms:W3CDTF">2025-09-13T08:20:00Z</dcterms:created>
  <dcterms:modified xsi:type="dcterms:W3CDTF">2025-09-15T08:08:00Z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