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9443B">
      <w:pPr>
        <w:widowControl/>
        <w:spacing w:after="240"/>
        <w:jc w:val="center"/>
        <w:rPr>
          <w:rFonts w:hint="eastAsia" w:ascii="方正小标宋简体" w:hAnsi="方正小标宋简体" w:eastAsia="方正小标宋简体" w:cs="方正小标宋简体"/>
          <w:bCs/>
          <w:kern w:val="0"/>
          <w:sz w:val="44"/>
          <w:szCs w:val="44"/>
          <w:lang w:val="en-GB" w:bidi="ar-AE"/>
        </w:rPr>
      </w:pPr>
      <w:r>
        <w:rPr>
          <w:rFonts w:hint="eastAsia" w:ascii="方正小标宋简体" w:hAnsi="方正小标宋简体" w:eastAsia="方正小标宋简体" w:cs="方正小标宋简体"/>
          <w:bCs/>
          <w:kern w:val="0"/>
          <w:sz w:val="44"/>
          <w:szCs w:val="44"/>
          <w:lang w:val="en-GB" w:bidi="ar-AE"/>
        </w:rPr>
        <w:t>经营者集中简易案件公示表</w:t>
      </w:r>
    </w:p>
    <w:tbl>
      <w:tblPr>
        <w:tblStyle w:val="3"/>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14:paraId="037B7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vAlign w:val="center"/>
          </w:tcPr>
          <w:p w14:paraId="08F1B4E9">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en-GB"/>
              </w:rPr>
            </w:pPr>
            <w:r>
              <w:rPr>
                <w:rFonts w:hint="default" w:ascii="Times New Roman" w:hAnsi="Times New Roman" w:cs="Times New Roman" w:eastAsiaTheme="minorEastAsia"/>
                <w:b/>
                <w:bCs w:val="0"/>
                <w:color w:val="000000"/>
                <w:sz w:val="24"/>
                <w:szCs w:val="24"/>
              </w:rPr>
              <w:t>案件名称</w:t>
            </w:r>
          </w:p>
        </w:tc>
        <w:tc>
          <w:tcPr>
            <w:tcW w:w="7700" w:type="dxa"/>
            <w:gridSpan w:val="2"/>
            <w:vAlign w:val="center"/>
          </w:tcPr>
          <w:p w14:paraId="466F3C00">
            <w:pPr>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bookmarkStart w:id="0" w:name="_GoBack"/>
            <w:r>
              <w:rPr>
                <w:rFonts w:hint="default" w:ascii="Times New Roman" w:hAnsi="Times New Roman" w:cs="Times New Roman"/>
                <w:sz w:val="24"/>
                <w:szCs w:val="24"/>
              </w:rPr>
              <w:t>深圳市东阳光实业发展有限公司收购梧桐数基科技有限公司等八家公司股权案</w:t>
            </w:r>
            <w:bookmarkEnd w:id="0"/>
          </w:p>
        </w:tc>
      </w:tr>
      <w:tr w14:paraId="5A8A8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vAlign w:val="center"/>
          </w:tcPr>
          <w:p w14:paraId="323DC047">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r>
              <w:rPr>
                <w:rFonts w:hint="default" w:ascii="Times New Roman" w:hAnsi="Times New Roman" w:cs="Times New Roman" w:eastAsiaTheme="minorEastAsia"/>
                <w:b/>
                <w:bCs w:val="0"/>
                <w:color w:val="000000"/>
                <w:sz w:val="24"/>
                <w:szCs w:val="24"/>
                <w:lang w:eastAsia="zh-CN"/>
              </w:rPr>
              <w:t>交易概况（限200字内）</w:t>
            </w:r>
          </w:p>
        </w:tc>
        <w:tc>
          <w:tcPr>
            <w:tcW w:w="7700" w:type="dxa"/>
            <w:gridSpan w:val="2"/>
            <w:vAlign w:val="center"/>
          </w:tcPr>
          <w:p w14:paraId="1D00B44E">
            <w:pPr>
              <w:widowControl w:val="0"/>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r>
              <w:rPr>
                <w:rFonts w:hint="default" w:ascii="Times New Roman" w:hAnsi="Times New Roman" w:cs="Times New Roman"/>
                <w:bCs/>
                <w:color w:val="000000"/>
                <w:sz w:val="24"/>
                <w:szCs w:val="24"/>
                <w:lang w:val="en-US"/>
              </w:rPr>
              <w:t>深圳市东阳光实业发展有限公司（“东阳光集团”）与</w:t>
            </w:r>
            <w:r>
              <w:rPr>
                <w:rFonts w:hint="default" w:ascii="Times New Roman" w:hAnsi="Times New Roman" w:cs="Times New Roman"/>
                <w:sz w:val="24"/>
                <w:szCs w:val="24"/>
              </w:rPr>
              <w:t>Stack Midco Limited、吴华鹏</w:t>
            </w:r>
            <w:r>
              <w:rPr>
                <w:rFonts w:hint="default" w:ascii="Times New Roman" w:hAnsi="Times New Roman" w:cs="Times New Roman"/>
                <w:sz w:val="24"/>
                <w:szCs w:val="24"/>
                <w:lang w:eastAsia="zh-CN"/>
              </w:rPr>
              <w:t>、</w:t>
            </w:r>
            <w:r>
              <w:rPr>
                <w:rFonts w:hint="default" w:ascii="Times New Roman" w:hAnsi="Times New Roman" w:cs="Times New Roman"/>
                <w:sz w:val="24"/>
                <w:szCs w:val="24"/>
              </w:rPr>
              <w:t>肖蒨</w:t>
            </w:r>
            <w:r>
              <w:rPr>
                <w:rFonts w:hint="default" w:ascii="Times New Roman" w:hAnsi="Times New Roman" w:cs="Times New Roman"/>
                <w:sz w:val="24"/>
                <w:szCs w:val="24"/>
                <w:lang w:eastAsia="zh-CN"/>
              </w:rPr>
              <w:t>及目标公司</w:t>
            </w:r>
            <w:r>
              <w:rPr>
                <w:rFonts w:hint="default" w:ascii="Times New Roman" w:hAnsi="Times New Roman" w:cs="Times New Roman"/>
                <w:sz w:val="24"/>
                <w:szCs w:val="24"/>
              </w:rPr>
              <w:t>签署协议，</w:t>
            </w:r>
            <w:r>
              <w:rPr>
                <w:rFonts w:hint="default" w:ascii="Times New Roman" w:hAnsi="Times New Roman" w:cs="Times New Roman"/>
                <w:sz w:val="24"/>
                <w:szCs w:val="24"/>
                <w:lang w:eastAsia="zh-CN"/>
              </w:rPr>
              <w:t>东阳光集团拟</w:t>
            </w:r>
            <w:r>
              <w:rPr>
                <w:rFonts w:hint="default" w:ascii="Times New Roman" w:hAnsi="Times New Roman" w:cs="Times New Roman"/>
                <w:sz w:val="24"/>
                <w:szCs w:val="24"/>
              </w:rPr>
              <w:t>收购Stack Midco Limited、吴华鹏</w:t>
            </w:r>
            <w:r>
              <w:rPr>
                <w:rFonts w:hint="default" w:ascii="Times New Roman" w:hAnsi="Times New Roman" w:cs="Times New Roman"/>
                <w:sz w:val="24"/>
                <w:szCs w:val="24"/>
                <w:lang w:eastAsia="zh-CN"/>
              </w:rPr>
              <w:t>、</w:t>
            </w:r>
            <w:r>
              <w:rPr>
                <w:rFonts w:hint="default" w:ascii="Times New Roman" w:hAnsi="Times New Roman" w:cs="Times New Roman"/>
                <w:sz w:val="24"/>
                <w:szCs w:val="24"/>
              </w:rPr>
              <w:t>肖蒨合计持有</w:t>
            </w:r>
            <w:r>
              <w:rPr>
                <w:rFonts w:hint="default" w:ascii="Times New Roman" w:hAnsi="Times New Roman" w:cs="Times New Roman"/>
                <w:bCs/>
                <w:color w:val="000000"/>
                <w:sz w:val="24"/>
                <w:szCs w:val="24"/>
              </w:rPr>
              <w:t>八家目标公司100</w:t>
            </w:r>
            <w:r>
              <w:rPr>
                <w:rFonts w:hint="default" w:ascii="Times New Roman" w:hAnsi="Times New Roman" w:cs="Times New Roman"/>
                <w:sz w:val="24"/>
                <w:szCs w:val="24"/>
              </w:rPr>
              <w:t>%的股权</w:t>
            </w:r>
            <w:r>
              <w:rPr>
                <w:rFonts w:hint="default" w:ascii="Times New Roman" w:hAnsi="Times New Roman" w:cs="Times New Roman"/>
                <w:bCs/>
                <w:color w:val="000000"/>
                <w:sz w:val="24"/>
                <w:szCs w:val="24"/>
              </w:rPr>
              <w:t>，目标公司主要从事互联网数据中心服务业务。交易前，</w:t>
            </w:r>
            <w:r>
              <w:rPr>
                <w:rFonts w:hint="default" w:ascii="Times New Roman" w:hAnsi="Times New Roman" w:cs="Times New Roman"/>
                <w:sz w:val="24"/>
                <w:szCs w:val="24"/>
              </w:rPr>
              <w:t>Stack Midco Limited</w:t>
            </w:r>
            <w:r>
              <w:rPr>
                <w:rFonts w:hint="default" w:ascii="Times New Roman" w:hAnsi="Times New Roman" w:cs="Times New Roman"/>
                <w:sz w:val="24"/>
                <w:szCs w:val="24"/>
                <w:lang w:eastAsia="zh-CN"/>
              </w:rPr>
              <w:t>基于协议及</w:t>
            </w:r>
            <w:r>
              <w:rPr>
                <w:rFonts w:hint="default" w:ascii="Times New Roman" w:hAnsi="Times New Roman" w:cs="Times New Roman"/>
                <w:sz w:val="24"/>
                <w:szCs w:val="24"/>
                <w:lang w:val="en-US" w:eastAsia="zh-CN"/>
              </w:rPr>
              <w:t>100%控股，</w:t>
            </w:r>
            <w:r>
              <w:rPr>
                <w:rFonts w:hint="default" w:ascii="Times New Roman" w:hAnsi="Times New Roman" w:cs="Times New Roman"/>
                <w:bCs/>
                <w:color w:val="000000"/>
                <w:sz w:val="24"/>
                <w:szCs w:val="24"/>
              </w:rPr>
              <w:t>单独控制目标公司。交易后，</w:t>
            </w:r>
            <w:r>
              <w:rPr>
                <w:rFonts w:hint="default" w:ascii="Times New Roman" w:hAnsi="Times New Roman" w:cs="Times New Roman"/>
                <w:sz w:val="24"/>
                <w:szCs w:val="24"/>
                <w:lang w:eastAsia="zh-CN"/>
              </w:rPr>
              <w:t>东阳光集团</w:t>
            </w:r>
            <w:r>
              <w:rPr>
                <w:rFonts w:hint="default" w:ascii="Times New Roman" w:hAnsi="Times New Roman" w:cs="Times New Roman"/>
                <w:bCs/>
                <w:color w:val="000000"/>
                <w:sz w:val="24"/>
                <w:szCs w:val="24"/>
              </w:rPr>
              <w:t>持有目标公司100%的股权，单独控制目标公司。</w:t>
            </w:r>
          </w:p>
        </w:tc>
      </w:tr>
      <w:tr w14:paraId="6DEC2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vAlign w:val="center"/>
          </w:tcPr>
          <w:p w14:paraId="5A6AAD26">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r>
              <w:rPr>
                <w:rFonts w:hint="default" w:ascii="Times New Roman" w:hAnsi="Times New Roman" w:cs="Times New Roman" w:eastAsiaTheme="minorEastAsia"/>
                <w:b/>
                <w:bCs w:val="0"/>
                <w:color w:val="000000"/>
                <w:sz w:val="24"/>
                <w:szCs w:val="24"/>
                <w:lang w:eastAsia="zh-CN"/>
              </w:rPr>
              <w:t>参与集中的经营者简介（每个限</w:t>
            </w:r>
            <w:r>
              <w:rPr>
                <w:rFonts w:hint="default" w:ascii="Times New Roman" w:hAnsi="Times New Roman" w:cs="Times New Roman" w:eastAsiaTheme="minorEastAsia"/>
                <w:b/>
                <w:bCs w:val="0"/>
                <w:color w:val="000000"/>
                <w:sz w:val="24"/>
                <w:szCs w:val="24"/>
                <w:lang w:val="en-US" w:eastAsia="zh-CN"/>
              </w:rPr>
              <w:t>100字以内</w:t>
            </w:r>
            <w:r>
              <w:rPr>
                <w:rFonts w:hint="default" w:ascii="Times New Roman" w:hAnsi="Times New Roman" w:cs="Times New Roman" w:eastAsiaTheme="minorEastAsia"/>
                <w:b/>
                <w:bCs w:val="0"/>
                <w:color w:val="000000"/>
                <w:sz w:val="24"/>
                <w:szCs w:val="24"/>
                <w:lang w:eastAsia="zh-CN"/>
              </w:rPr>
              <w:t>）</w:t>
            </w:r>
          </w:p>
        </w:tc>
        <w:tc>
          <w:tcPr>
            <w:tcW w:w="1607" w:type="dxa"/>
            <w:vAlign w:val="center"/>
          </w:tcPr>
          <w:p w14:paraId="09A3C42D">
            <w:pPr>
              <w:pStyle w:val="2"/>
              <w:adjustRightInd w:val="0"/>
              <w:snapToGrid w:val="0"/>
              <w:spacing w:after="0"/>
              <w:rPr>
                <w:rFonts w:hint="default" w:ascii="Times New Roman" w:hAnsi="Times New Roman" w:cs="Times New Roman" w:eastAsiaTheme="minorEastAsia"/>
                <w:b w:val="0"/>
                <w:bCs/>
                <w:color w:val="000000"/>
                <w:kern w:val="0"/>
                <w:sz w:val="24"/>
                <w:szCs w:val="24"/>
                <w:lang w:val="en-GB" w:eastAsia="zh-CN" w:bidi="ar-AE"/>
              </w:rPr>
            </w:pPr>
            <w:r>
              <w:rPr>
                <w:rFonts w:hint="default" w:ascii="Times New Roman" w:hAnsi="Times New Roman" w:cs="Times New Roman"/>
                <w:bCs/>
                <w:color w:val="000000"/>
                <w:sz w:val="24"/>
                <w:szCs w:val="24"/>
                <w:lang w:val="en-US" w:eastAsia="zh-CN"/>
              </w:rPr>
              <w:t>1.</w:t>
            </w:r>
            <w:r>
              <w:rPr>
                <w:rFonts w:hint="default" w:ascii="Times New Roman" w:hAnsi="Times New Roman" w:cs="Times New Roman"/>
                <w:bCs/>
                <w:color w:val="000000"/>
                <w:sz w:val="24"/>
                <w:szCs w:val="24"/>
                <w:lang w:eastAsia="zh-CN"/>
              </w:rPr>
              <w:t>东阳光集团</w:t>
            </w:r>
          </w:p>
        </w:tc>
        <w:tc>
          <w:tcPr>
            <w:tcW w:w="6093" w:type="dxa"/>
            <w:vAlign w:val="center"/>
          </w:tcPr>
          <w:p w14:paraId="1E4150C6">
            <w:pPr>
              <w:pStyle w:val="2"/>
              <w:adjustRightInd w:val="0"/>
              <w:snapToGrid w:val="0"/>
              <w:spacing w:after="0"/>
              <w:rPr>
                <w:rFonts w:hint="default" w:ascii="Times New Roman" w:hAnsi="Times New Roman" w:cs="Times New Roman"/>
                <w:sz w:val="24"/>
                <w:szCs w:val="24"/>
                <w:lang w:eastAsia="zh-CN"/>
              </w:rPr>
            </w:pPr>
            <w:r>
              <w:rPr>
                <w:rFonts w:hint="default" w:ascii="Times New Roman" w:hAnsi="Times New Roman" w:cs="Times New Roman"/>
                <w:bCs/>
                <w:color w:val="000000"/>
                <w:sz w:val="24"/>
                <w:szCs w:val="24"/>
                <w:lang w:val="en-US" w:eastAsia="zh-CN"/>
              </w:rPr>
              <w:t>东阳光集团</w:t>
            </w:r>
            <w:r>
              <w:rPr>
                <w:rFonts w:hint="default" w:ascii="Times New Roman" w:hAnsi="Times New Roman" w:cs="Times New Roman"/>
                <w:sz w:val="24"/>
                <w:szCs w:val="24"/>
                <w:lang w:eastAsia="zh-CN"/>
              </w:rPr>
              <w:t>于1997年1月27日成立于中国广东省，主要业务涉及电子新材料、生物医药和健康养生三大板块。</w:t>
            </w:r>
          </w:p>
          <w:p w14:paraId="16396114">
            <w:pPr>
              <w:pStyle w:val="2"/>
              <w:adjustRightInd w:val="0"/>
              <w:snapToGrid w:val="0"/>
              <w:spacing w:after="0"/>
              <w:rPr>
                <w:rFonts w:hint="default" w:ascii="Times New Roman" w:hAnsi="Times New Roman" w:cs="Times New Roman" w:eastAsiaTheme="minorEastAsia"/>
                <w:b w:val="0"/>
                <w:bCs/>
                <w:color w:val="000000"/>
                <w:kern w:val="0"/>
                <w:sz w:val="24"/>
                <w:szCs w:val="24"/>
                <w:lang w:val="en-GB" w:eastAsia="zh-CN" w:bidi="ar-AE"/>
              </w:rPr>
            </w:pPr>
            <w:r>
              <w:rPr>
                <w:rFonts w:hint="default" w:ascii="Times New Roman" w:hAnsi="Times New Roman" w:cs="Times New Roman"/>
                <w:sz w:val="24"/>
                <w:szCs w:val="24"/>
                <w:lang w:eastAsia="zh-CN"/>
              </w:rPr>
              <w:t>东阳光集团最终控制人为自然人，主要业务为电子新材料、生物医药和健康养生等领域的投资。</w:t>
            </w:r>
          </w:p>
        </w:tc>
      </w:tr>
      <w:tr w14:paraId="565D3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vAlign w:val="center"/>
          </w:tcPr>
          <w:p w14:paraId="7460263D">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p>
        </w:tc>
        <w:tc>
          <w:tcPr>
            <w:tcW w:w="1607" w:type="dxa"/>
            <w:vAlign w:val="center"/>
          </w:tcPr>
          <w:p w14:paraId="02D39ADF">
            <w:pPr>
              <w:pStyle w:val="2"/>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r>
              <w:rPr>
                <w:rFonts w:hint="default" w:ascii="Times New Roman" w:hAnsi="Times New Roman" w:cs="Times New Roman"/>
                <w:bCs/>
                <w:color w:val="000000"/>
                <w:sz w:val="24"/>
                <w:szCs w:val="24"/>
                <w:lang w:val="en-US" w:eastAsia="zh-CN"/>
              </w:rPr>
              <w:t>2.</w:t>
            </w:r>
            <w:r>
              <w:rPr>
                <w:rFonts w:hint="default" w:ascii="Times New Roman" w:hAnsi="Times New Roman" w:cs="Times New Roman"/>
                <w:bCs/>
                <w:color w:val="000000"/>
                <w:sz w:val="24"/>
                <w:szCs w:val="24"/>
                <w:lang w:eastAsia="zh-CN"/>
              </w:rPr>
              <w:t>目标公司</w:t>
            </w:r>
          </w:p>
        </w:tc>
        <w:tc>
          <w:tcPr>
            <w:tcW w:w="6093" w:type="dxa"/>
            <w:vAlign w:val="center"/>
          </w:tcPr>
          <w:p w14:paraId="57E14D5B">
            <w:pPr>
              <w:adjustRightInd w:val="0"/>
              <w:snapToGrid w:val="0"/>
              <w:spacing w:after="0"/>
              <w:rPr>
                <w:rFonts w:hint="default" w:ascii="Times New Roman" w:hAnsi="Times New Roman" w:cs="Times New Roman"/>
                <w:sz w:val="24"/>
                <w:szCs w:val="24"/>
                <w:lang w:val="en-US"/>
              </w:rPr>
            </w:pPr>
            <w:r>
              <w:rPr>
                <w:rFonts w:hint="default" w:ascii="Times New Roman" w:hAnsi="Times New Roman" w:cs="Times New Roman"/>
                <w:bCs/>
                <w:color w:val="000000"/>
                <w:sz w:val="24"/>
                <w:szCs w:val="24"/>
              </w:rPr>
              <w:t>目标公司</w:t>
            </w:r>
            <w:r>
              <w:rPr>
                <w:rFonts w:hint="default" w:ascii="Times New Roman" w:hAnsi="Times New Roman" w:cs="Times New Roman"/>
                <w:sz w:val="24"/>
                <w:szCs w:val="24"/>
                <w:lang w:val="en-US"/>
              </w:rPr>
              <w:t>主营业务为互联网数据中心服务。</w:t>
            </w:r>
          </w:p>
          <w:p w14:paraId="1FE3CFF4">
            <w:pPr>
              <w:adjustRightInd w:val="0"/>
              <w:snapToGrid w:val="0"/>
              <w:spacing w:after="0"/>
              <w:rPr>
                <w:rFonts w:hint="default" w:ascii="Times New Roman" w:hAnsi="Times New Roman" w:cs="Times New Roman" w:eastAsiaTheme="minorEastAsia"/>
                <w:b w:val="0"/>
                <w:bCs/>
                <w:color w:val="000000"/>
                <w:kern w:val="0"/>
                <w:sz w:val="24"/>
                <w:szCs w:val="24"/>
                <w:lang w:val="en-GB" w:eastAsia="zh-CN" w:bidi="ar-AE"/>
              </w:rPr>
            </w:pPr>
            <w:r>
              <w:rPr>
                <w:rFonts w:hint="default" w:ascii="Times New Roman" w:hAnsi="Times New Roman" w:cs="Times New Roman"/>
                <w:sz w:val="24"/>
                <w:szCs w:val="24"/>
                <w:lang w:val="en-US"/>
              </w:rPr>
              <w:t>目标公司最终控制人为贝恩资本投资者有限责任公司，主要业务为</w:t>
            </w:r>
            <w:r>
              <w:rPr>
                <w:rFonts w:hint="default" w:ascii="Times New Roman" w:hAnsi="Times New Roman" w:cs="Times New Roman"/>
                <w:sz w:val="24"/>
                <w:szCs w:val="24"/>
              </w:rPr>
              <w:t>通过旗下基金在全球范围内的诸多行业领域（包括技术、媒体和电信、医疗保健、零售和消费产品、金融和商业服务以及工业/制造业）开展投资。</w:t>
            </w:r>
          </w:p>
        </w:tc>
      </w:tr>
      <w:tr w14:paraId="218D9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vAlign w:val="center"/>
          </w:tcPr>
          <w:p w14:paraId="7ACF43BF">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r>
              <w:rPr>
                <w:rFonts w:hint="default" w:ascii="Times New Roman" w:hAnsi="Times New Roman" w:cs="Times New Roman" w:eastAsiaTheme="minorEastAsia"/>
                <w:b/>
                <w:bCs w:val="0"/>
                <w:color w:val="000000"/>
                <w:sz w:val="24"/>
                <w:szCs w:val="24"/>
                <w:lang w:eastAsia="zh-CN"/>
              </w:rPr>
              <w:t>简易案件理由（可以单选，也可以多选）</w:t>
            </w:r>
          </w:p>
        </w:tc>
        <w:tc>
          <w:tcPr>
            <w:tcW w:w="7700" w:type="dxa"/>
            <w:gridSpan w:val="2"/>
            <w:vAlign w:val="center"/>
          </w:tcPr>
          <w:p w14:paraId="3E87A319">
            <w:pPr>
              <w:pStyle w:val="2"/>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r>
              <w:rPr>
                <w:rFonts w:hint="default" w:ascii="Times New Roman" w:hAnsi="Times New Roman" w:cs="Times New Roman"/>
                <w:bCs/>
                <w:color w:val="000000"/>
                <w:sz w:val="24"/>
                <w:szCs w:val="24"/>
                <w:lang w:eastAsia="zh-CN"/>
              </w:rPr>
              <w:sym w:font="Wingdings" w:char="00A8"/>
            </w:r>
            <w:r>
              <w:rPr>
                <w:rFonts w:hint="default" w:ascii="Times New Roman" w:hAnsi="Times New Roman" w:cs="Times New Roman"/>
                <w:bCs/>
                <w:color w:val="000000"/>
                <w:sz w:val="24"/>
                <w:szCs w:val="24"/>
                <w:lang w:eastAsia="zh-CN"/>
              </w:rPr>
              <w:t xml:space="preserve"> 1、在同一相关市场，所有参与集中的经营者所占市场份额之和小于15%。</w:t>
            </w:r>
          </w:p>
        </w:tc>
      </w:tr>
      <w:tr w14:paraId="24F2A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vAlign w:val="center"/>
          </w:tcPr>
          <w:p w14:paraId="091E102C">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p>
        </w:tc>
        <w:tc>
          <w:tcPr>
            <w:tcW w:w="7700" w:type="dxa"/>
            <w:gridSpan w:val="2"/>
            <w:vAlign w:val="center"/>
          </w:tcPr>
          <w:p w14:paraId="332D125E">
            <w:pPr>
              <w:pStyle w:val="2"/>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r>
              <w:rPr>
                <w:rFonts w:hint="default" w:ascii="Times New Roman" w:hAnsi="Times New Roman" w:cs="Times New Roman"/>
                <w:bCs/>
                <w:color w:val="000000"/>
                <w:sz w:val="24"/>
                <w:szCs w:val="24"/>
                <w:lang w:eastAsia="zh-CN"/>
              </w:rPr>
              <w:sym w:font="Wingdings" w:char="00A8"/>
            </w:r>
            <w:r>
              <w:rPr>
                <w:rFonts w:hint="default" w:ascii="Times New Roman" w:hAnsi="Times New Roman" w:cs="Times New Roman"/>
                <w:bCs/>
                <w:color w:val="000000"/>
                <w:sz w:val="24"/>
                <w:szCs w:val="24"/>
                <w:lang w:eastAsia="zh-CN"/>
              </w:rPr>
              <w:t xml:space="preserve"> 2、存在上下游关系的参与集中的经营者，在上下游市场所占的市场份额均小于25%。</w:t>
            </w:r>
          </w:p>
        </w:tc>
      </w:tr>
      <w:tr w14:paraId="183C9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vAlign w:val="center"/>
          </w:tcPr>
          <w:p w14:paraId="041120AE">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p>
        </w:tc>
        <w:tc>
          <w:tcPr>
            <w:tcW w:w="7700" w:type="dxa"/>
            <w:gridSpan w:val="2"/>
            <w:vAlign w:val="center"/>
          </w:tcPr>
          <w:p w14:paraId="7E8F4C93">
            <w:pPr>
              <w:pStyle w:val="2"/>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r>
              <w:rPr>
                <w:rFonts w:hint="default" w:ascii="Times New Roman" w:hAnsi="Times New Roman" w:cs="Times New Roman"/>
                <w:bCs/>
                <w:color w:val="000000"/>
                <w:sz w:val="24"/>
                <w:szCs w:val="24"/>
                <w:lang w:eastAsia="zh-CN"/>
              </w:rPr>
              <w:sym w:font="Wingdings" w:char="00FE"/>
            </w:r>
            <w:r>
              <w:rPr>
                <w:rFonts w:hint="default" w:ascii="Times New Roman" w:hAnsi="Times New Roman" w:cs="Times New Roman"/>
                <w:bCs/>
                <w:color w:val="000000"/>
                <w:sz w:val="24"/>
                <w:szCs w:val="24"/>
                <w:lang w:eastAsia="zh-CN"/>
              </w:rPr>
              <w:t xml:space="preserve"> 3、不在同一相关市场、也不存在上下游关系的参与集中的经营者，在与交易有关的每个市场所占的份额均小于25%。</w:t>
            </w:r>
          </w:p>
        </w:tc>
      </w:tr>
      <w:tr w14:paraId="59C09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vAlign w:val="center"/>
          </w:tcPr>
          <w:p w14:paraId="57D50373">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p>
        </w:tc>
        <w:tc>
          <w:tcPr>
            <w:tcW w:w="7700" w:type="dxa"/>
            <w:gridSpan w:val="2"/>
            <w:vAlign w:val="center"/>
          </w:tcPr>
          <w:p w14:paraId="754B853F">
            <w:pPr>
              <w:pStyle w:val="2"/>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r>
              <w:rPr>
                <w:rFonts w:hint="default" w:ascii="Times New Roman" w:hAnsi="Times New Roman" w:cs="Times New Roman"/>
                <w:bCs/>
                <w:color w:val="000000"/>
                <w:sz w:val="24"/>
                <w:szCs w:val="24"/>
                <w:lang w:eastAsia="zh-CN"/>
              </w:rPr>
              <w:sym w:font="Wingdings" w:char="00A8"/>
            </w:r>
            <w:r>
              <w:rPr>
                <w:rFonts w:hint="default" w:ascii="Times New Roman" w:hAnsi="Times New Roman" w:cs="Times New Roman"/>
                <w:bCs/>
                <w:color w:val="000000"/>
                <w:sz w:val="24"/>
                <w:szCs w:val="24"/>
                <w:lang w:eastAsia="zh-CN"/>
              </w:rPr>
              <w:t xml:space="preserve"> 4、参与集中的经营者在中国境外设立合营企业，合营企业不在中国境内从事经济活动。</w:t>
            </w:r>
          </w:p>
        </w:tc>
      </w:tr>
      <w:tr w14:paraId="2B5C1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vAlign w:val="center"/>
          </w:tcPr>
          <w:p w14:paraId="32B2A282">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p>
        </w:tc>
        <w:tc>
          <w:tcPr>
            <w:tcW w:w="7700" w:type="dxa"/>
            <w:gridSpan w:val="2"/>
            <w:vAlign w:val="center"/>
          </w:tcPr>
          <w:p w14:paraId="0F50DA05">
            <w:pPr>
              <w:pStyle w:val="2"/>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r>
              <w:rPr>
                <w:rFonts w:hint="default" w:ascii="Times New Roman" w:hAnsi="Times New Roman" w:cs="Times New Roman"/>
                <w:bCs/>
                <w:color w:val="000000"/>
                <w:sz w:val="24"/>
                <w:szCs w:val="24"/>
                <w:lang w:eastAsia="zh-CN"/>
              </w:rPr>
              <w:sym w:font="Wingdings" w:char="00A8"/>
            </w:r>
            <w:r>
              <w:rPr>
                <w:rFonts w:hint="default" w:ascii="Times New Roman" w:hAnsi="Times New Roman" w:cs="Times New Roman"/>
                <w:bCs/>
                <w:color w:val="000000"/>
                <w:sz w:val="24"/>
                <w:szCs w:val="24"/>
                <w:lang w:eastAsia="zh-CN"/>
              </w:rPr>
              <w:t xml:space="preserve"> 5、参与集中的经营者收购境外企业股权或资产的，该境外企业不在中国境内从事经济活动。</w:t>
            </w:r>
          </w:p>
        </w:tc>
      </w:tr>
      <w:tr w14:paraId="19EE6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vAlign w:val="center"/>
          </w:tcPr>
          <w:p w14:paraId="1ACCB808">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p>
        </w:tc>
        <w:tc>
          <w:tcPr>
            <w:tcW w:w="7700" w:type="dxa"/>
            <w:gridSpan w:val="2"/>
            <w:vAlign w:val="center"/>
          </w:tcPr>
          <w:p w14:paraId="734C3F02">
            <w:pPr>
              <w:pStyle w:val="2"/>
              <w:adjustRightInd w:val="0"/>
              <w:snapToGrid w:val="0"/>
              <w:spacing w:after="0"/>
              <w:rPr>
                <w:rFonts w:hint="default" w:ascii="Times New Roman" w:hAnsi="Times New Roman" w:cs="Times New Roman" w:eastAsiaTheme="minorEastAsia"/>
                <w:b w:val="0"/>
                <w:bCs/>
                <w:color w:val="000000"/>
                <w:kern w:val="0"/>
                <w:sz w:val="24"/>
                <w:szCs w:val="24"/>
                <w:lang w:val="en-US" w:eastAsia="zh-CN" w:bidi="ar-AE"/>
              </w:rPr>
            </w:pPr>
            <w:r>
              <w:rPr>
                <w:rFonts w:hint="default" w:ascii="Times New Roman" w:hAnsi="Times New Roman" w:cs="Times New Roman"/>
                <w:bCs/>
                <w:color w:val="000000"/>
                <w:sz w:val="24"/>
                <w:szCs w:val="24"/>
                <w:lang w:eastAsia="zh-CN"/>
              </w:rPr>
              <w:sym w:font="Wingdings" w:char="00A8"/>
            </w:r>
            <w:r>
              <w:rPr>
                <w:rFonts w:hint="default" w:ascii="Times New Roman" w:hAnsi="Times New Roman" w:cs="Times New Roman"/>
                <w:bCs/>
                <w:color w:val="000000"/>
                <w:sz w:val="24"/>
                <w:szCs w:val="24"/>
                <w:lang w:eastAsia="zh-CN"/>
              </w:rPr>
              <w:t xml:space="preserve"> 6、由两个以上的经营者共同控制的合营企业，通过集中被其中一个或一个以上经营者控制。</w:t>
            </w:r>
          </w:p>
        </w:tc>
      </w:tr>
      <w:tr w14:paraId="694BA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vAlign w:val="center"/>
          </w:tcPr>
          <w:p w14:paraId="0C6DE0C1">
            <w:pPr>
              <w:pStyle w:val="2"/>
              <w:adjustRightInd w:val="0"/>
              <w:snapToGrid w:val="0"/>
              <w:spacing w:after="0"/>
              <w:rPr>
                <w:rFonts w:hint="default" w:ascii="Times New Roman" w:hAnsi="Times New Roman" w:cs="Times New Roman" w:eastAsiaTheme="minorEastAsia"/>
                <w:b/>
                <w:bCs w:val="0"/>
                <w:color w:val="000000"/>
                <w:kern w:val="0"/>
                <w:sz w:val="24"/>
                <w:szCs w:val="24"/>
                <w:lang w:val="en-GB" w:eastAsia="zh-CN"/>
              </w:rPr>
            </w:pPr>
            <w:r>
              <w:rPr>
                <w:rFonts w:hint="default" w:ascii="Times New Roman" w:hAnsi="Times New Roman" w:cs="Times New Roman" w:eastAsiaTheme="minorEastAsia"/>
                <w:b/>
                <w:bCs w:val="0"/>
                <w:color w:val="000000"/>
                <w:sz w:val="24"/>
                <w:szCs w:val="24"/>
                <w:lang w:val="en-US" w:eastAsia="zh-CN"/>
              </w:rPr>
              <w:t>备注</w:t>
            </w:r>
          </w:p>
        </w:tc>
        <w:tc>
          <w:tcPr>
            <w:tcW w:w="7700" w:type="dxa"/>
            <w:gridSpan w:val="2"/>
            <w:vAlign w:val="center"/>
          </w:tcPr>
          <w:p w14:paraId="218B7D1C">
            <w:pPr>
              <w:pStyle w:val="2"/>
              <w:adjustRightInd w:val="0"/>
              <w:snapToGrid w:val="0"/>
              <w:spacing w:after="0"/>
              <w:rPr>
                <w:rFonts w:hint="default" w:ascii="Times New Roman" w:hAnsi="Times New Roman" w:cs="Times New Roman"/>
                <w:b/>
                <w:color w:val="000000"/>
                <w:sz w:val="24"/>
                <w:szCs w:val="24"/>
                <w:lang w:eastAsia="zh-CN"/>
              </w:rPr>
            </w:pPr>
            <w:r>
              <w:rPr>
                <w:rFonts w:hint="default" w:ascii="Times New Roman" w:hAnsi="Times New Roman" w:cs="Times New Roman"/>
                <w:b/>
                <w:color w:val="000000"/>
                <w:sz w:val="24"/>
                <w:szCs w:val="24"/>
                <w:lang w:eastAsia="zh-CN"/>
              </w:rPr>
              <w:t>混合集中：</w:t>
            </w:r>
          </w:p>
          <w:p w14:paraId="7D1AA654">
            <w:pPr>
              <w:pStyle w:val="2"/>
              <w:adjustRightInd w:val="0"/>
              <w:snapToGrid w:val="0"/>
              <w:spacing w:after="0"/>
              <w:rPr>
                <w:rFonts w:hint="default" w:ascii="Times New Roman" w:hAnsi="Times New Roman" w:cs="Times New Roman"/>
                <w:bCs/>
                <w:color w:val="000000"/>
                <w:sz w:val="24"/>
                <w:szCs w:val="24"/>
                <w:lang w:eastAsia="zh-CN"/>
              </w:rPr>
            </w:pPr>
            <w:r>
              <w:rPr>
                <w:rFonts w:hint="default" w:ascii="Times New Roman" w:hAnsi="Times New Roman" w:cs="Times New Roman"/>
                <w:bCs/>
                <w:color w:val="000000"/>
                <w:sz w:val="24"/>
                <w:szCs w:val="24"/>
                <w:lang w:eastAsia="zh-CN"/>
              </w:rPr>
              <w:t>2024年中国境内互联网数据中心服务市场：</w:t>
            </w:r>
          </w:p>
          <w:p w14:paraId="3B9B607B">
            <w:pPr>
              <w:pStyle w:val="2"/>
              <w:adjustRightInd w:val="0"/>
              <w:snapToGrid w:val="0"/>
              <w:spacing w:after="0"/>
              <w:rPr>
                <w:rFonts w:hint="default" w:ascii="Times New Roman" w:hAnsi="Times New Roman" w:cs="Times New Roman" w:eastAsiaTheme="minorEastAsia"/>
                <w:b w:val="0"/>
                <w:bCs/>
                <w:color w:val="000000"/>
                <w:kern w:val="0"/>
                <w:sz w:val="24"/>
                <w:szCs w:val="24"/>
                <w:lang w:val="en-GB" w:eastAsia="zh-CN" w:bidi="ar-AE"/>
              </w:rPr>
            </w:pPr>
            <w:r>
              <w:rPr>
                <w:rFonts w:hint="default" w:ascii="Times New Roman" w:hAnsi="Times New Roman" w:cs="Times New Roman"/>
                <w:bCs/>
                <w:color w:val="000000"/>
                <w:sz w:val="24"/>
                <w:szCs w:val="24"/>
                <w:lang w:eastAsia="zh-CN"/>
              </w:rPr>
              <w:t>目标公司：[0-5%]</w:t>
            </w:r>
          </w:p>
        </w:tc>
      </w:tr>
    </w:tbl>
    <w:p w14:paraId="2F263A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F51530"/>
    <w:rsid w:val="4BF515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2025-09-18T02:55:00Z</dcterms:created>
  <dc:creator>胡翌婧</dc:creator>
  <cp:lastModifiedBy>胡翌婧</cp:lastModifiedBy>
  <dcterms:modified xsi:type="dcterms:W3CDTF">2025-09-18T02:55:41Z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86E10E8AB8204F34BA335B27BA021135_11</vt:lpwstr>
  </property>
  <property fmtid="{D5CDD505-2E9C-101B-9397-08002B2CF9AE}" pid="4" name="KSOTemplateDocerSaveRecord">
    <vt:lpwstr>eyJoZGlkIjoiODNjM2VkZWUwYjdkZDYzZGY2NmZiZGNiZGIyMjFjYWIiLCJ1c2VySWQiOiIyNDQ2MzYxMzgifQ==</vt:lpwstr>
  </property>
</Properties>
</file>