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157F5B">
      <w:pPr>
        <w:pStyle w:val="3"/>
        <w:ind w:left="0" w:leftChars="0" w:firstLine="0" w:firstLineChars="0"/>
        <w:rPr>
          <w:rFonts w:hint="default" w:ascii="Times New Roman" w:hAnsi="Times New Roman" w:eastAsia="黑体" w:cs="Times New Roman"/>
          <w:bCs w:val="0"/>
          <w:color w:val="000000"/>
          <w:kern w:val="2"/>
          <w:sz w:val="32"/>
          <w:szCs w:val="32"/>
          <w:lang w:val="en-US" w:eastAsia="zh-CN" w:bidi="ar-SA"/>
        </w:rPr>
      </w:pPr>
      <w:r>
        <w:rPr>
          <w:rFonts w:hint="default" w:ascii="Times New Roman" w:hAnsi="Times New Roman" w:eastAsia="黑体" w:cs="Times New Roman"/>
          <w:bCs w:val="0"/>
          <w:color w:val="000000"/>
          <w:kern w:val="2"/>
          <w:sz w:val="32"/>
          <w:szCs w:val="32"/>
          <w:lang w:val="en-US" w:eastAsia="zh-CN" w:bidi="ar-SA"/>
        </w:rPr>
        <w:t>附件3</w:t>
      </w:r>
    </w:p>
    <w:p w14:paraId="269FA271">
      <w:pPr>
        <w:widowControl/>
        <w:spacing w:after="240"/>
        <w:jc w:val="center"/>
        <w:rPr>
          <w:rFonts w:hint="eastAsia" w:ascii="方正小标宋简体" w:hAnsi="方正小标宋简体" w:eastAsia="方正小标宋简体" w:cs="方正小标宋简体"/>
          <w:bCs/>
          <w:kern w:val="0"/>
          <w:sz w:val="44"/>
          <w:szCs w:val="44"/>
          <w:lang w:val="en-GB" w:bidi="ar-AE"/>
        </w:rPr>
      </w:pPr>
      <w:r>
        <w:rPr>
          <w:rFonts w:hint="eastAsia" w:ascii="方正小标宋简体" w:hAnsi="方正小标宋简体" w:eastAsia="方正小标宋简体" w:cs="方正小标宋简体"/>
          <w:bCs/>
          <w:kern w:val="0"/>
          <w:sz w:val="44"/>
          <w:szCs w:val="44"/>
          <w:lang w:val="en-GB" w:bidi="ar-AE"/>
        </w:rPr>
        <w:t>经营者集中简易案件公示表</w:t>
      </w:r>
    </w:p>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14:paraId="590C2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vAlign w:val="center"/>
          </w:tcPr>
          <w:p w14:paraId="35AD3A99">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en-US" w:bidi="ar-SA"/>
              </w:rPr>
            </w:pPr>
            <w:r>
              <w:rPr>
                <w:rFonts w:ascii="Times New Roman" w:hAnsi="Times New Roman"/>
                <w:b/>
                <w:bCs w:val="0"/>
                <w:color w:val="000000"/>
                <w:sz w:val="24"/>
                <w:szCs w:val="24"/>
                <w:lang w:val="en-GB"/>
              </w:rPr>
              <w:t>案件名称</w:t>
            </w:r>
          </w:p>
        </w:tc>
        <w:tc>
          <w:tcPr>
            <w:tcW w:w="7700" w:type="dxa"/>
            <w:gridSpan w:val="2"/>
            <w:vAlign w:val="center"/>
          </w:tcPr>
          <w:p w14:paraId="44BA0927">
            <w:pPr>
              <w:adjustRightInd w:val="0"/>
              <w:snapToGrid w:val="0"/>
              <w:spacing w:line="264" w:lineRule="auto"/>
              <w:rPr>
                <w:rFonts w:ascii="Times New Roman" w:hAnsi="Times New Roman" w:cs="Times New Roman"/>
                <w:bCs/>
                <w:color w:val="000000"/>
                <w:sz w:val="24"/>
              </w:rPr>
            </w:pPr>
            <w:r>
              <w:rPr>
                <w:rFonts w:hint="eastAsia"/>
                <w:bCs/>
                <w:color w:val="000000"/>
                <w:sz w:val="24"/>
              </w:rPr>
              <w:t>中信证券股份有限公司收购华润置地（贵阳）有限公司等三家公司股权案</w:t>
            </w:r>
          </w:p>
        </w:tc>
      </w:tr>
      <w:tr w14:paraId="32CAB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vAlign w:val="center"/>
          </w:tcPr>
          <w:p w14:paraId="03F23F63">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zh-CN" w:bidi="ar-SA"/>
              </w:rPr>
            </w:pPr>
            <w:r>
              <w:rPr>
                <w:rFonts w:ascii="Times New Roman" w:hAnsi="Times New Roman"/>
                <w:b/>
                <w:bCs w:val="0"/>
                <w:color w:val="000000"/>
                <w:sz w:val="24"/>
                <w:szCs w:val="24"/>
                <w:lang w:val="en-GB" w:eastAsia="zh-CN"/>
              </w:rPr>
              <w:t>交易概况（限200字内）</w:t>
            </w:r>
          </w:p>
        </w:tc>
        <w:tc>
          <w:tcPr>
            <w:tcW w:w="7700" w:type="dxa"/>
            <w:gridSpan w:val="2"/>
            <w:vAlign w:val="center"/>
          </w:tcPr>
          <w:p w14:paraId="6CD6742E">
            <w:pPr>
              <w:widowControl/>
              <w:adjustRightInd w:val="0"/>
              <w:snapToGrid w:val="0"/>
              <w:spacing w:after="0" w:line="264" w:lineRule="auto"/>
              <w:ind w:firstLine="0" w:firstLineChars="0"/>
              <w:jc w:val="both"/>
              <w:rPr>
                <w:rFonts w:hint="eastAsia" w:ascii="Times New Roman" w:hAnsi="Times New Roman" w:cs="Times New Roman"/>
                <w:sz w:val="24"/>
                <w:szCs w:val="24"/>
                <w:lang w:val="en-GB" w:eastAsia="zh-CN"/>
              </w:rPr>
            </w:pPr>
            <w:r>
              <w:rPr>
                <w:rFonts w:hint="eastAsia" w:ascii="Times New Roman" w:hAnsi="Times New Roman" w:cs="Times New Roman"/>
                <w:sz w:val="24"/>
                <w:szCs w:val="24"/>
                <w:lang w:val="en-GB" w:eastAsia="zh-CN"/>
              </w:rPr>
              <w:t>中信证券股份有限公司（“</w:t>
            </w:r>
            <w:r>
              <w:rPr>
                <w:rFonts w:hint="eastAsia" w:ascii="Times New Roman" w:hAnsi="Times New Roman" w:cs="Times New Roman"/>
                <w:b/>
                <w:bCs/>
                <w:sz w:val="24"/>
                <w:szCs w:val="24"/>
                <w:lang w:val="en-GB" w:eastAsia="zh-CN"/>
              </w:rPr>
              <w:t>中信证券</w:t>
            </w:r>
            <w:r>
              <w:rPr>
                <w:rFonts w:hint="eastAsia" w:ascii="Times New Roman" w:hAnsi="Times New Roman" w:cs="Times New Roman"/>
                <w:sz w:val="24"/>
                <w:szCs w:val="24"/>
                <w:lang w:val="en-GB" w:eastAsia="zh-CN"/>
              </w:rPr>
              <w:t>”）通过其关联实体中信金石基金管理有限公司和华夏股权投资基金管理（北京）有限公司，与中国华润有限公司（“</w:t>
            </w:r>
            <w:r>
              <w:rPr>
                <w:rFonts w:hint="eastAsia" w:ascii="Times New Roman" w:hAnsi="Times New Roman" w:cs="Times New Roman"/>
                <w:b/>
                <w:bCs/>
                <w:sz w:val="24"/>
                <w:szCs w:val="24"/>
                <w:lang w:val="en-GB" w:eastAsia="zh-CN"/>
              </w:rPr>
              <w:t>华润集团</w:t>
            </w:r>
            <w:r>
              <w:rPr>
                <w:rFonts w:hint="eastAsia" w:ascii="Times New Roman" w:hAnsi="Times New Roman" w:cs="Times New Roman"/>
                <w:sz w:val="24"/>
                <w:szCs w:val="24"/>
                <w:lang w:val="en-GB" w:eastAsia="zh-CN"/>
              </w:rPr>
              <w:t>”）关联实体深圳市润汇商业管理有限公司签署协议，拟通过</w:t>
            </w:r>
            <w:r>
              <w:rPr>
                <w:rFonts w:hint="eastAsia" w:cs="Times New Roman"/>
                <w:sz w:val="24"/>
                <w:szCs w:val="24"/>
                <w:lang w:val="en-GB" w:eastAsia="zh-CN"/>
              </w:rPr>
              <w:t>设立</w:t>
            </w:r>
            <w:r>
              <w:rPr>
                <w:rFonts w:hint="eastAsia" w:ascii="Times New Roman" w:hAnsi="Times New Roman" w:cs="Times New Roman"/>
                <w:sz w:val="24"/>
                <w:szCs w:val="24"/>
                <w:lang w:val="en-GB" w:eastAsia="zh-CN"/>
              </w:rPr>
              <w:t>持股平台</w:t>
            </w:r>
            <w:r>
              <w:rPr>
                <w:rFonts w:hint="eastAsia" w:ascii="Times New Roman" w:hAnsi="Times New Roman" w:cs="Times New Roman"/>
                <w:sz w:val="24"/>
                <w:szCs w:val="24"/>
                <w:lang w:val="en-US" w:eastAsia="zh-CN"/>
              </w:rPr>
              <w:t>收购华润置地（贵阳）有限公司、华润置地（西安）有限公司、大连润星房地产开发有限公司（合称“</w:t>
            </w:r>
            <w:r>
              <w:rPr>
                <w:rFonts w:hint="eastAsia" w:ascii="Times New Roman" w:hAnsi="Times New Roman" w:cs="Times New Roman"/>
                <w:b/>
                <w:bCs/>
                <w:sz w:val="24"/>
                <w:szCs w:val="24"/>
                <w:lang w:val="en-US" w:eastAsia="zh-CN"/>
              </w:rPr>
              <w:t>目标公司</w:t>
            </w:r>
            <w:r>
              <w:rPr>
                <w:rFonts w:hint="eastAsia" w:ascii="Times New Roman" w:hAnsi="Times New Roman" w:cs="Times New Roman"/>
                <w:sz w:val="24"/>
                <w:szCs w:val="24"/>
                <w:lang w:val="en-US" w:eastAsia="zh-CN"/>
              </w:rPr>
              <w:t>”）共计100%股权。目标公司主要从事</w:t>
            </w:r>
            <w:r>
              <w:rPr>
                <w:rFonts w:hint="eastAsia" w:ascii="Times New Roman" w:hAnsi="Times New Roman" w:cs="Times New Roman"/>
                <w:sz w:val="24"/>
                <w:szCs w:val="24"/>
                <w:lang w:val="en-GB" w:eastAsia="zh-CN"/>
              </w:rPr>
              <w:t>大型零售商业地产开发和运营。</w:t>
            </w:r>
          </w:p>
          <w:p w14:paraId="6D7B96FF">
            <w:pPr>
              <w:widowControl/>
              <w:adjustRightInd w:val="0"/>
              <w:snapToGrid w:val="0"/>
              <w:spacing w:after="0" w:line="264" w:lineRule="auto"/>
              <w:ind w:firstLine="0" w:firstLineChars="0"/>
              <w:jc w:val="both"/>
              <w:rPr>
                <w:rFonts w:ascii="Times New Roman" w:hAnsi="Times New Roman" w:eastAsia="宋体" w:cs="Times New Roman"/>
                <w:bCs/>
                <w:color w:val="000000"/>
                <w:kern w:val="0"/>
                <w:sz w:val="24"/>
                <w:szCs w:val="24"/>
                <w:highlight w:val="none"/>
                <w:lang w:val="en-US" w:eastAsia="zh-CN" w:bidi="ar-SA"/>
              </w:rPr>
            </w:pPr>
            <w:r>
              <w:rPr>
                <w:rFonts w:hint="eastAsia" w:ascii="Times New Roman" w:hAnsi="Times New Roman" w:cs="Times New Roman"/>
                <w:sz w:val="24"/>
                <w:szCs w:val="24"/>
                <w:lang w:val="en-GB" w:eastAsia="zh-CN"/>
              </w:rPr>
              <w:t>交易前，华润集团持有目标公司100%股权，单独控制目标公司；交易后，中信证券及华润集团合计持有目标公司100%股权，共同控制目标公司。</w:t>
            </w:r>
          </w:p>
        </w:tc>
      </w:tr>
      <w:tr w14:paraId="6F71D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vAlign w:val="center"/>
          </w:tcPr>
          <w:p w14:paraId="023F0C0A">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zh-CN" w:bidi="ar-SA"/>
              </w:rPr>
            </w:pPr>
            <w:r>
              <w:rPr>
                <w:rFonts w:ascii="Times New Roman" w:hAnsi="Times New Roman"/>
                <w:b/>
                <w:bCs w:val="0"/>
                <w:color w:val="000000"/>
                <w:sz w:val="24"/>
                <w:szCs w:val="24"/>
                <w:lang w:val="en-GB" w:eastAsia="zh-CN"/>
              </w:rPr>
              <w:t>参与集中的经营者简介（每个限</w:t>
            </w:r>
            <w:r>
              <w:rPr>
                <w:rFonts w:ascii="Times New Roman" w:hAnsi="Times New Roman"/>
                <w:b/>
                <w:bCs w:val="0"/>
                <w:color w:val="000000"/>
                <w:sz w:val="24"/>
                <w:szCs w:val="24"/>
                <w:lang w:eastAsia="zh-CN"/>
              </w:rPr>
              <w:t>100字以内</w:t>
            </w:r>
            <w:r>
              <w:rPr>
                <w:rFonts w:ascii="Times New Roman" w:hAnsi="Times New Roman"/>
                <w:b/>
                <w:bCs w:val="0"/>
                <w:color w:val="000000"/>
                <w:sz w:val="24"/>
                <w:szCs w:val="24"/>
                <w:lang w:val="en-GB" w:eastAsia="zh-CN"/>
              </w:rPr>
              <w:t>）</w:t>
            </w:r>
          </w:p>
        </w:tc>
        <w:tc>
          <w:tcPr>
            <w:tcW w:w="1607" w:type="dxa"/>
            <w:vAlign w:val="center"/>
          </w:tcPr>
          <w:p w14:paraId="50FE35CF">
            <w:pPr>
              <w:widowControl/>
              <w:adjustRightInd w:val="0"/>
              <w:snapToGrid w:val="0"/>
              <w:spacing w:after="0" w:line="264" w:lineRule="auto"/>
              <w:ind w:firstLine="0" w:firstLineChars="0"/>
              <w:jc w:val="both"/>
              <w:rPr>
                <w:rFonts w:ascii="Times New Roman" w:hAnsi="Times New Roman" w:eastAsia="宋体" w:cs="Times New Roman"/>
                <w:bCs/>
                <w:color w:val="000000"/>
                <w:kern w:val="0"/>
                <w:sz w:val="24"/>
                <w:szCs w:val="24"/>
                <w:lang w:val="en-GB" w:eastAsia="zh-CN" w:bidi="ar-SA"/>
              </w:rPr>
            </w:pPr>
            <w:r>
              <w:rPr>
                <w:rFonts w:hint="eastAsia" w:cs="Times New Roman"/>
                <w:sz w:val="24"/>
                <w:szCs w:val="24"/>
                <w:lang w:val="en-US" w:eastAsia="zh-CN"/>
              </w:rPr>
              <w:t>1.</w:t>
            </w:r>
            <w:r>
              <w:rPr>
                <w:rFonts w:hint="eastAsia" w:ascii="Times New Roman" w:hAnsi="Times New Roman" w:cs="Times New Roman"/>
                <w:sz w:val="24"/>
                <w:szCs w:val="24"/>
                <w:lang w:val="en-GB" w:eastAsia="zh-CN"/>
              </w:rPr>
              <w:t>中信证券</w:t>
            </w:r>
          </w:p>
        </w:tc>
        <w:tc>
          <w:tcPr>
            <w:tcW w:w="6093" w:type="dxa"/>
            <w:vAlign w:val="center"/>
          </w:tcPr>
          <w:p w14:paraId="2483402D">
            <w:pPr>
              <w:widowControl/>
              <w:adjustRightInd w:val="0"/>
              <w:snapToGrid w:val="0"/>
              <w:spacing w:after="0" w:line="264" w:lineRule="auto"/>
              <w:ind w:firstLine="0" w:firstLineChars="0"/>
              <w:jc w:val="both"/>
              <w:rPr>
                <w:rFonts w:hint="eastAsia" w:ascii="Times New Roman" w:hAnsi="Times New Roman" w:cs="Times New Roman"/>
                <w:sz w:val="24"/>
                <w:szCs w:val="24"/>
                <w:lang w:val="en-GB" w:eastAsia="zh-CN"/>
              </w:rPr>
            </w:pPr>
            <w:r>
              <w:rPr>
                <w:rFonts w:hint="eastAsia" w:ascii="Times New Roman" w:hAnsi="Times New Roman" w:cs="Times New Roman"/>
                <w:sz w:val="24"/>
                <w:szCs w:val="24"/>
                <w:lang w:val="en-GB" w:eastAsia="zh-CN"/>
              </w:rPr>
              <w:t>中信证券于1995年10月25日成立于广东省深圳市，主要业务为投资银行、财富管理、资产管理、金融市场等相关金融服务。</w:t>
            </w:r>
          </w:p>
          <w:p w14:paraId="544334AC">
            <w:pPr>
              <w:widowControl/>
              <w:adjustRightInd w:val="0"/>
              <w:snapToGrid w:val="0"/>
              <w:spacing w:after="0" w:line="264" w:lineRule="auto"/>
              <w:ind w:firstLine="0" w:firstLineChars="0"/>
              <w:jc w:val="both"/>
              <w:rPr>
                <w:rFonts w:ascii="Times New Roman" w:hAnsi="Times New Roman" w:eastAsia="宋体" w:cs="Times New Roman"/>
                <w:kern w:val="0"/>
                <w:sz w:val="24"/>
                <w:szCs w:val="24"/>
                <w:lang w:val="en-GB" w:eastAsia="zh-CN" w:bidi="ar-AE"/>
              </w:rPr>
            </w:pPr>
            <w:r>
              <w:rPr>
                <w:rFonts w:hint="eastAsia" w:cs="Times New Roman"/>
                <w:sz w:val="24"/>
                <w:szCs w:val="24"/>
                <w:lang w:val="en-GB" w:eastAsia="zh-CN"/>
              </w:rPr>
              <w:t>中信证券无最终控制人。</w:t>
            </w:r>
          </w:p>
        </w:tc>
      </w:tr>
      <w:tr w14:paraId="55CFD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continue"/>
            <w:shd w:val="clear" w:color="auto" w:fill="D9D9D9"/>
            <w:vAlign w:val="center"/>
          </w:tcPr>
          <w:p w14:paraId="29207036">
            <w:pPr>
              <w:pStyle w:val="2"/>
              <w:adjustRightInd w:val="0"/>
              <w:snapToGrid w:val="0"/>
              <w:spacing w:after="0" w:line="264" w:lineRule="auto"/>
              <w:rPr>
                <w:rFonts w:ascii="Times New Roman" w:hAnsi="Times New Roman" w:eastAsia="宋体" w:cs="Times New Roman"/>
                <w:b/>
                <w:bCs w:val="0"/>
                <w:color w:val="000000"/>
                <w:kern w:val="0"/>
                <w:sz w:val="24"/>
                <w:szCs w:val="24"/>
                <w:lang w:val="en-GB" w:eastAsia="zh-CN" w:bidi="ar-SA"/>
              </w:rPr>
            </w:pPr>
          </w:p>
        </w:tc>
        <w:tc>
          <w:tcPr>
            <w:tcW w:w="1607" w:type="dxa"/>
            <w:vAlign w:val="center"/>
          </w:tcPr>
          <w:p w14:paraId="32876F55">
            <w:pPr>
              <w:widowControl/>
              <w:adjustRightInd w:val="0"/>
              <w:snapToGrid w:val="0"/>
              <w:spacing w:after="0" w:line="264" w:lineRule="auto"/>
              <w:ind w:firstLine="0" w:firstLineChars="0"/>
              <w:jc w:val="both"/>
              <w:rPr>
                <w:rFonts w:ascii="Times New Roman" w:hAnsi="Times New Roman" w:eastAsia="宋体" w:cs="Times New Roman"/>
                <w:bCs/>
                <w:color w:val="000000"/>
                <w:kern w:val="0"/>
                <w:sz w:val="24"/>
                <w:szCs w:val="24"/>
                <w:highlight w:val="none"/>
                <w:lang w:val="en-US" w:eastAsia="zh-CN" w:bidi="ar-SA"/>
              </w:rPr>
            </w:pPr>
            <w:r>
              <w:rPr>
                <w:rFonts w:hint="eastAsia" w:cs="Times New Roman"/>
                <w:sz w:val="24"/>
                <w:szCs w:val="24"/>
                <w:lang w:val="en-US" w:eastAsia="zh-CN"/>
              </w:rPr>
              <w:t>2.</w:t>
            </w:r>
            <w:r>
              <w:rPr>
                <w:rFonts w:hint="eastAsia" w:ascii="Times New Roman" w:hAnsi="Times New Roman" w:cs="Times New Roman"/>
                <w:sz w:val="24"/>
                <w:szCs w:val="24"/>
                <w:lang w:val="en-GB" w:eastAsia="zh-CN"/>
              </w:rPr>
              <w:t>华润集团</w:t>
            </w:r>
          </w:p>
        </w:tc>
        <w:tc>
          <w:tcPr>
            <w:tcW w:w="6093" w:type="dxa"/>
            <w:vAlign w:val="center"/>
          </w:tcPr>
          <w:p w14:paraId="61B5207E">
            <w:pPr>
              <w:widowControl/>
              <w:adjustRightInd w:val="0"/>
              <w:snapToGrid w:val="0"/>
              <w:spacing w:after="0" w:line="264" w:lineRule="auto"/>
              <w:ind w:firstLine="0" w:firstLineChars="0"/>
              <w:jc w:val="both"/>
              <w:rPr>
                <w:rFonts w:hint="eastAsia" w:ascii="Times New Roman" w:hAnsi="Times New Roman" w:cs="Times New Roman"/>
                <w:sz w:val="24"/>
                <w:szCs w:val="24"/>
                <w:lang w:val="en-GB" w:eastAsia="zh-CN"/>
              </w:rPr>
            </w:pPr>
            <w:r>
              <w:rPr>
                <w:rFonts w:hint="eastAsia" w:ascii="Times New Roman" w:hAnsi="Times New Roman" w:cs="Times New Roman"/>
                <w:sz w:val="24"/>
                <w:szCs w:val="24"/>
                <w:lang w:val="en-GB" w:eastAsia="zh-CN"/>
              </w:rPr>
              <w:t>华润集团于1986年12月31日成立于北京市，主要业务为大消费、综合能源、城市建设与运营、大健康、产业金融、科技及新兴产业等。</w:t>
            </w:r>
          </w:p>
          <w:p w14:paraId="46729E8E">
            <w:pPr>
              <w:widowControl/>
              <w:adjustRightInd w:val="0"/>
              <w:snapToGrid w:val="0"/>
              <w:spacing w:after="0" w:line="264" w:lineRule="auto"/>
              <w:ind w:firstLine="0" w:firstLineChars="0"/>
              <w:jc w:val="both"/>
              <w:rPr>
                <w:rFonts w:ascii="Times New Roman" w:hAnsi="Times New Roman" w:cs="Times New Roman"/>
                <w:bCs/>
                <w:color w:val="000000"/>
                <w:sz w:val="24"/>
                <w:highlight w:val="none"/>
                <w:lang w:val="en-GB" w:bidi="ar-AE"/>
              </w:rPr>
            </w:pPr>
            <w:r>
              <w:rPr>
                <w:rFonts w:hint="eastAsia" w:cs="Times New Roman"/>
                <w:sz w:val="24"/>
                <w:szCs w:val="24"/>
                <w:lang w:val="en-GB" w:eastAsia="zh-CN"/>
              </w:rPr>
              <w:t>华润集团无最终控制人。</w:t>
            </w:r>
          </w:p>
        </w:tc>
      </w:tr>
      <w:tr w14:paraId="5347B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restart"/>
            <w:shd w:val="clear" w:color="auto" w:fill="D9D9D9"/>
            <w:vAlign w:val="center"/>
          </w:tcPr>
          <w:p w14:paraId="2BEBF2FE">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zh-CN" w:bidi="ar-SA"/>
              </w:rPr>
            </w:pPr>
            <w:r>
              <w:rPr>
                <w:rFonts w:ascii="Times New Roman" w:hAnsi="Times New Roman"/>
                <w:b/>
                <w:bCs w:val="0"/>
                <w:color w:val="000000"/>
                <w:sz w:val="24"/>
                <w:szCs w:val="24"/>
                <w:lang w:val="en-GB" w:eastAsia="zh-CN"/>
              </w:rPr>
              <w:t>简易案件理由（可以单选，也可以多选）</w:t>
            </w:r>
          </w:p>
        </w:tc>
        <w:tc>
          <w:tcPr>
            <w:tcW w:w="7700" w:type="dxa"/>
            <w:gridSpan w:val="2"/>
            <w:vAlign w:val="center"/>
          </w:tcPr>
          <w:p w14:paraId="347CD998">
            <w:pPr>
              <w:widowControl/>
              <w:adjustRightInd w:val="0"/>
              <w:snapToGrid w:val="0"/>
              <w:spacing w:after="0" w:line="264" w:lineRule="auto"/>
              <w:ind w:firstLine="0" w:firstLineChars="0"/>
              <w:jc w:val="both"/>
              <w:rPr>
                <w:rFonts w:ascii="Times New Roman" w:hAnsi="Times New Roman" w:eastAsia="宋体" w:cs="Times New Roman"/>
                <w:kern w:val="0"/>
                <w:sz w:val="24"/>
                <w:szCs w:val="24"/>
                <w:lang w:val="en-US" w:eastAsia="zh-CN" w:bidi="ar-SA"/>
              </w:rPr>
            </w:pPr>
            <w:r>
              <w:rPr>
                <w:rFonts w:hint="eastAsia" w:ascii="Times New Roman" w:hAnsi="Times New Roman" w:cs="Times New Roman"/>
                <w:sz w:val="24"/>
                <w:szCs w:val="24"/>
                <w:lang w:val="en-GB" w:eastAsia="zh-CN"/>
              </w:rPr>
              <w:sym w:font="Wingdings" w:char="00A8"/>
            </w:r>
            <w:r>
              <w:rPr>
                <w:rFonts w:hint="eastAsia" w:ascii="Times New Roman" w:hAnsi="Times New Roman" w:cs="Times New Roman"/>
                <w:sz w:val="24"/>
                <w:szCs w:val="24"/>
                <w:lang w:val="en-GB" w:eastAsia="zh-CN"/>
              </w:rPr>
              <w:t xml:space="preserve"> 1、在同一相关市场，所有参与集中的经营者所占市场份额之和小于15%。</w:t>
            </w:r>
          </w:p>
        </w:tc>
      </w:tr>
      <w:tr w14:paraId="00211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continue"/>
            <w:shd w:val="clear" w:color="auto" w:fill="D9D9D9"/>
            <w:vAlign w:val="center"/>
          </w:tcPr>
          <w:p w14:paraId="030A668D">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zh-CN" w:bidi="ar-SA"/>
              </w:rPr>
            </w:pPr>
          </w:p>
        </w:tc>
        <w:tc>
          <w:tcPr>
            <w:tcW w:w="7700" w:type="dxa"/>
            <w:gridSpan w:val="2"/>
            <w:vAlign w:val="center"/>
          </w:tcPr>
          <w:p w14:paraId="4EA86FE9">
            <w:pPr>
              <w:widowControl/>
              <w:adjustRightInd w:val="0"/>
              <w:snapToGrid w:val="0"/>
              <w:spacing w:after="0" w:line="264" w:lineRule="auto"/>
              <w:ind w:firstLine="0" w:firstLineChars="0"/>
              <w:jc w:val="both"/>
              <w:rPr>
                <w:rFonts w:ascii="Times New Roman" w:hAnsi="Times New Roman" w:eastAsia="宋体" w:cs="Times New Roman"/>
                <w:bCs/>
                <w:color w:val="000000"/>
                <w:kern w:val="0"/>
                <w:sz w:val="24"/>
                <w:szCs w:val="24"/>
                <w:lang w:val="en-US" w:eastAsia="zh-CN" w:bidi="ar-SA"/>
              </w:rPr>
            </w:pPr>
            <w:r>
              <w:rPr>
                <w:rFonts w:hint="eastAsia" w:ascii="Times New Roman" w:hAnsi="Times New Roman" w:cs="Times New Roman"/>
                <w:sz w:val="24"/>
                <w:szCs w:val="24"/>
                <w:lang w:val="en-GB" w:eastAsia="zh-CN"/>
              </w:rPr>
              <w:sym w:font="Wingdings" w:char="00A8"/>
            </w:r>
            <w:r>
              <w:rPr>
                <w:rFonts w:hint="eastAsia" w:ascii="Times New Roman" w:hAnsi="Times New Roman" w:cs="Times New Roman"/>
                <w:sz w:val="24"/>
                <w:szCs w:val="24"/>
                <w:lang w:val="en-GB" w:eastAsia="zh-CN"/>
              </w:rPr>
              <w:t xml:space="preserve"> 2、存在上下游关系的参与集中的经营者，在上下游市场所占的市场份额均小于25%。</w:t>
            </w:r>
          </w:p>
        </w:tc>
      </w:tr>
      <w:tr w14:paraId="22F03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vAlign w:val="center"/>
          </w:tcPr>
          <w:p w14:paraId="4133FC83">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zh-CN" w:bidi="ar-SA"/>
              </w:rPr>
            </w:pPr>
          </w:p>
        </w:tc>
        <w:tc>
          <w:tcPr>
            <w:tcW w:w="7700" w:type="dxa"/>
            <w:gridSpan w:val="2"/>
            <w:vAlign w:val="center"/>
          </w:tcPr>
          <w:p w14:paraId="03AE4A0A">
            <w:pPr>
              <w:widowControl/>
              <w:adjustRightInd w:val="0"/>
              <w:snapToGrid w:val="0"/>
              <w:spacing w:after="0" w:line="264" w:lineRule="auto"/>
              <w:ind w:firstLine="0" w:firstLineChars="0"/>
              <w:jc w:val="both"/>
              <w:rPr>
                <w:rFonts w:ascii="Times New Roman" w:hAnsi="Times New Roman" w:eastAsia="宋体" w:cs="Times New Roman"/>
                <w:bCs/>
                <w:color w:val="000000"/>
                <w:kern w:val="0"/>
                <w:sz w:val="24"/>
                <w:szCs w:val="24"/>
                <w:lang w:val="en-US" w:eastAsia="zh-CN" w:bidi="ar-SA"/>
              </w:rPr>
            </w:pPr>
            <w:r>
              <w:rPr>
                <w:rFonts w:hint="eastAsia" w:ascii="Times New Roman" w:hAnsi="Times New Roman" w:cs="Times New Roman"/>
                <w:sz w:val="24"/>
                <w:szCs w:val="24"/>
                <w:lang w:val="en-GB" w:eastAsia="zh-CN"/>
              </w:rPr>
              <w:sym w:font="Wingdings" w:char="00FE"/>
            </w:r>
            <w:r>
              <w:rPr>
                <w:rFonts w:hint="eastAsia" w:ascii="Times New Roman" w:hAnsi="Times New Roman" w:cs="Times New Roman"/>
                <w:sz w:val="24"/>
                <w:szCs w:val="24"/>
                <w:lang w:val="en-GB" w:eastAsia="zh-CN"/>
              </w:rPr>
              <w:t xml:space="preserve"> 3、不在同一相关市场、也不存在上下游关系的参与集中的经营者，在与交易有关的每个市场所占的份额均小于25%。</w:t>
            </w:r>
          </w:p>
        </w:tc>
      </w:tr>
      <w:tr w14:paraId="2FFC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vAlign w:val="center"/>
          </w:tcPr>
          <w:p w14:paraId="5CF7CB16">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zh-CN" w:bidi="ar-SA"/>
              </w:rPr>
            </w:pPr>
          </w:p>
        </w:tc>
        <w:tc>
          <w:tcPr>
            <w:tcW w:w="7700" w:type="dxa"/>
            <w:gridSpan w:val="2"/>
            <w:vAlign w:val="center"/>
          </w:tcPr>
          <w:p w14:paraId="2E950D3E">
            <w:pPr>
              <w:widowControl/>
              <w:adjustRightInd w:val="0"/>
              <w:snapToGrid w:val="0"/>
              <w:spacing w:after="0" w:line="264" w:lineRule="auto"/>
              <w:ind w:firstLine="0" w:firstLineChars="0"/>
              <w:jc w:val="both"/>
              <w:rPr>
                <w:rFonts w:ascii="Times New Roman" w:hAnsi="Times New Roman" w:eastAsia="宋体" w:cs="Times New Roman"/>
                <w:bCs/>
                <w:color w:val="000000"/>
                <w:kern w:val="0"/>
                <w:sz w:val="24"/>
                <w:szCs w:val="24"/>
                <w:lang w:val="en-US" w:eastAsia="zh-CN" w:bidi="ar-SA"/>
              </w:rPr>
            </w:pPr>
            <w:r>
              <w:rPr>
                <w:rFonts w:hint="eastAsia" w:ascii="Times New Roman" w:hAnsi="Times New Roman" w:cs="Times New Roman"/>
                <w:sz w:val="24"/>
                <w:szCs w:val="24"/>
                <w:lang w:val="en-GB" w:eastAsia="zh-CN"/>
              </w:rPr>
              <w:sym w:font="Wingdings" w:char="00A8"/>
            </w:r>
            <w:r>
              <w:rPr>
                <w:rFonts w:hint="eastAsia" w:ascii="Times New Roman" w:hAnsi="Times New Roman" w:cs="Times New Roman"/>
                <w:sz w:val="24"/>
                <w:szCs w:val="24"/>
                <w:lang w:val="en-GB" w:eastAsia="zh-CN"/>
              </w:rPr>
              <w:t xml:space="preserve"> 4、参与集中的经营者在中国境外设立合营企业，合营企业不在中国境内从事经济活动。</w:t>
            </w:r>
          </w:p>
        </w:tc>
      </w:tr>
      <w:tr w14:paraId="3B3B0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vAlign w:val="center"/>
          </w:tcPr>
          <w:p w14:paraId="39E4C296">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zh-CN" w:bidi="ar-SA"/>
              </w:rPr>
            </w:pPr>
          </w:p>
        </w:tc>
        <w:tc>
          <w:tcPr>
            <w:tcW w:w="7700" w:type="dxa"/>
            <w:gridSpan w:val="2"/>
            <w:vAlign w:val="center"/>
          </w:tcPr>
          <w:p w14:paraId="60593D34">
            <w:pPr>
              <w:widowControl/>
              <w:adjustRightInd w:val="0"/>
              <w:snapToGrid w:val="0"/>
              <w:spacing w:after="0" w:line="264" w:lineRule="auto"/>
              <w:ind w:firstLine="0" w:firstLineChars="0"/>
              <w:jc w:val="both"/>
              <w:rPr>
                <w:rFonts w:ascii="Times New Roman" w:hAnsi="Times New Roman" w:eastAsia="宋体" w:cs="Times New Roman"/>
                <w:bCs/>
                <w:color w:val="000000"/>
                <w:kern w:val="0"/>
                <w:sz w:val="24"/>
                <w:szCs w:val="24"/>
                <w:lang w:val="en-US" w:eastAsia="zh-CN" w:bidi="ar-SA"/>
              </w:rPr>
            </w:pPr>
            <w:r>
              <w:rPr>
                <w:rFonts w:hint="eastAsia" w:ascii="Times New Roman" w:hAnsi="Times New Roman" w:cs="Times New Roman"/>
                <w:sz w:val="24"/>
                <w:szCs w:val="24"/>
                <w:lang w:val="en-GB" w:eastAsia="zh-CN"/>
              </w:rPr>
              <w:sym w:font="Wingdings" w:char="00A8"/>
            </w:r>
            <w:r>
              <w:rPr>
                <w:rFonts w:hint="eastAsia" w:ascii="Times New Roman" w:hAnsi="Times New Roman" w:cs="Times New Roman"/>
                <w:sz w:val="24"/>
                <w:szCs w:val="24"/>
                <w:lang w:val="en-GB" w:eastAsia="zh-CN"/>
              </w:rPr>
              <w:t xml:space="preserve"> 5、参与集中的经营者收购境外企业股权或资产的，该境外企业不在中国境内从事经济活动。</w:t>
            </w:r>
          </w:p>
        </w:tc>
      </w:tr>
      <w:tr w14:paraId="2C1F5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vAlign w:val="center"/>
          </w:tcPr>
          <w:p w14:paraId="5F2AC4CA">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zh-CN" w:bidi="ar-SA"/>
              </w:rPr>
            </w:pPr>
          </w:p>
        </w:tc>
        <w:tc>
          <w:tcPr>
            <w:tcW w:w="7700" w:type="dxa"/>
            <w:gridSpan w:val="2"/>
            <w:vAlign w:val="center"/>
          </w:tcPr>
          <w:p w14:paraId="6A33E767">
            <w:pPr>
              <w:widowControl/>
              <w:adjustRightInd w:val="0"/>
              <w:snapToGrid w:val="0"/>
              <w:spacing w:after="0" w:line="264" w:lineRule="auto"/>
              <w:ind w:firstLine="0" w:firstLineChars="0"/>
              <w:jc w:val="both"/>
              <w:rPr>
                <w:rFonts w:ascii="Times New Roman" w:hAnsi="Times New Roman" w:eastAsia="宋体" w:cs="Times New Roman"/>
                <w:bCs/>
                <w:color w:val="000000"/>
                <w:kern w:val="0"/>
                <w:sz w:val="24"/>
                <w:szCs w:val="24"/>
                <w:lang w:val="en-US" w:eastAsia="zh-CN" w:bidi="ar-SA"/>
              </w:rPr>
            </w:pPr>
            <w:r>
              <w:rPr>
                <w:rFonts w:hint="eastAsia" w:ascii="Times New Roman" w:hAnsi="Times New Roman" w:cs="Times New Roman"/>
                <w:sz w:val="24"/>
                <w:szCs w:val="24"/>
                <w:lang w:val="en-GB" w:eastAsia="zh-CN"/>
              </w:rPr>
              <w:sym w:font="Wingdings" w:char="00A8"/>
            </w:r>
            <w:r>
              <w:rPr>
                <w:rFonts w:hint="eastAsia" w:ascii="Times New Roman" w:hAnsi="Times New Roman" w:cs="Times New Roman"/>
                <w:sz w:val="24"/>
                <w:szCs w:val="24"/>
                <w:lang w:val="en-GB" w:eastAsia="zh-CN"/>
              </w:rPr>
              <w:t xml:space="preserve"> 6、由两个以上的经营者共同控制的合营企业，通过集中被其中一个或一个以上经营者控制。</w:t>
            </w:r>
          </w:p>
        </w:tc>
      </w:tr>
      <w:tr w14:paraId="6999A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shd w:val="clear" w:color="auto" w:fill="D9D9D9"/>
            <w:vAlign w:val="center"/>
          </w:tcPr>
          <w:p w14:paraId="7537FD5A">
            <w:pPr>
              <w:pStyle w:val="2"/>
              <w:adjustRightInd w:val="0"/>
              <w:snapToGrid w:val="0"/>
              <w:spacing w:after="0" w:line="264" w:lineRule="auto"/>
              <w:rPr>
                <w:rFonts w:ascii="Times New Roman" w:hAnsi="Times New Roman" w:eastAsia="宋体" w:cs="Times New Roman"/>
                <w:b/>
                <w:bCs w:val="0"/>
                <w:color w:val="000000"/>
                <w:kern w:val="0"/>
                <w:sz w:val="24"/>
                <w:szCs w:val="24"/>
                <w:lang w:val="en-US" w:eastAsia="zh-CN" w:bidi="ar-SA"/>
              </w:rPr>
            </w:pPr>
            <w:r>
              <w:rPr>
                <w:rFonts w:ascii="Times New Roman" w:hAnsi="Times New Roman"/>
                <w:b/>
                <w:bCs w:val="0"/>
                <w:color w:val="000000"/>
                <w:sz w:val="24"/>
                <w:szCs w:val="24"/>
                <w:lang w:eastAsia="zh-CN"/>
              </w:rPr>
              <w:t>备注</w:t>
            </w:r>
          </w:p>
        </w:tc>
        <w:tc>
          <w:tcPr>
            <w:tcW w:w="7700" w:type="dxa"/>
            <w:gridSpan w:val="2"/>
            <w:vAlign w:val="center"/>
          </w:tcPr>
          <w:p w14:paraId="3AB6D22B">
            <w:pPr>
              <w:widowControl/>
              <w:adjustRightInd w:val="0"/>
              <w:snapToGrid w:val="0"/>
              <w:spacing w:after="0" w:line="264" w:lineRule="auto"/>
              <w:ind w:firstLine="0" w:firstLineChars="0"/>
              <w:jc w:val="both"/>
              <w:rPr>
                <w:rFonts w:hint="eastAsia" w:ascii="Times New Roman" w:hAnsi="Times New Roman" w:cs="Times New Roman"/>
                <w:b/>
                <w:bCs/>
                <w:sz w:val="24"/>
                <w:szCs w:val="24"/>
                <w:lang w:val="en-GB" w:eastAsia="zh-CN"/>
              </w:rPr>
            </w:pPr>
            <w:r>
              <w:rPr>
                <w:rFonts w:hint="eastAsia" w:ascii="Times New Roman" w:hAnsi="Times New Roman" w:cs="Times New Roman"/>
                <w:b/>
                <w:bCs/>
                <w:sz w:val="24"/>
                <w:szCs w:val="24"/>
                <w:lang w:val="en-GB" w:eastAsia="zh-CN"/>
              </w:rPr>
              <w:t>混合集中：</w:t>
            </w:r>
          </w:p>
          <w:p w14:paraId="715D8EC5">
            <w:pPr>
              <w:widowControl/>
              <w:adjustRightInd w:val="0"/>
              <w:snapToGrid w:val="0"/>
              <w:spacing w:after="0" w:line="264" w:lineRule="auto"/>
              <w:ind w:firstLine="0" w:firstLineChars="0"/>
              <w:jc w:val="both"/>
              <w:rPr>
                <w:rFonts w:hint="eastAsia" w:ascii="Times New Roman" w:hAnsi="Times New Roman" w:cs="Times New Roman"/>
                <w:sz w:val="24"/>
                <w:szCs w:val="24"/>
                <w:lang w:val="en-GB" w:eastAsia="zh-CN"/>
              </w:rPr>
            </w:pPr>
            <w:r>
              <w:rPr>
                <w:rFonts w:hint="eastAsia" w:ascii="Times New Roman" w:hAnsi="Times New Roman" w:cs="Times New Roman"/>
                <w:sz w:val="24"/>
                <w:szCs w:val="24"/>
                <w:lang w:val="en-GB" w:eastAsia="zh-CN"/>
              </w:rPr>
              <w:t>2024年贵阳市大型零售商业地产开发和运营市场：</w:t>
            </w:r>
          </w:p>
          <w:p w14:paraId="2DF57033">
            <w:pPr>
              <w:widowControl/>
              <w:adjustRightInd w:val="0"/>
              <w:snapToGrid w:val="0"/>
              <w:spacing w:after="0" w:line="264" w:lineRule="auto"/>
              <w:ind w:firstLine="0" w:firstLineChars="0"/>
              <w:jc w:val="both"/>
              <w:rPr>
                <w:rFonts w:hint="eastAsia" w:ascii="Times New Roman" w:hAnsi="Times New Roman" w:cs="Times New Roman"/>
                <w:sz w:val="24"/>
                <w:szCs w:val="24"/>
                <w:lang w:val="en-GB" w:eastAsia="zh-CN"/>
              </w:rPr>
            </w:pPr>
            <w:r>
              <w:rPr>
                <w:rFonts w:hint="eastAsia" w:ascii="Times New Roman" w:hAnsi="Times New Roman" w:cs="Times New Roman"/>
                <w:sz w:val="24"/>
                <w:szCs w:val="24"/>
                <w:lang w:val="en-GB" w:eastAsia="zh-CN"/>
              </w:rPr>
              <w:t>华润集团（含目标公司）：</w:t>
            </w:r>
            <w:r>
              <w:rPr>
                <w:rFonts w:hint="eastAsia" w:cs="Times New Roman"/>
                <w:sz w:val="24"/>
                <w:szCs w:val="24"/>
                <w:lang w:val="en-US" w:eastAsia="zh-CN"/>
              </w:rPr>
              <w:t>10</w:t>
            </w:r>
            <w:r>
              <w:rPr>
                <w:rFonts w:hint="eastAsia" w:ascii="Times New Roman" w:hAnsi="Times New Roman" w:cs="Times New Roman"/>
                <w:sz w:val="24"/>
                <w:szCs w:val="24"/>
                <w:lang w:val="en-US" w:eastAsia="zh-CN"/>
              </w:rPr>
              <w:t>-1</w:t>
            </w:r>
            <w:r>
              <w:rPr>
                <w:rFonts w:hint="eastAsia" w:cs="Times New Roman"/>
                <w:sz w:val="24"/>
                <w:szCs w:val="24"/>
                <w:lang w:val="en-US" w:eastAsia="zh-CN"/>
              </w:rPr>
              <w:t>5</w:t>
            </w:r>
            <w:r>
              <w:rPr>
                <w:rFonts w:hint="eastAsia" w:ascii="Times New Roman" w:hAnsi="Times New Roman" w:cs="Times New Roman"/>
                <w:sz w:val="24"/>
                <w:szCs w:val="24"/>
                <w:lang w:val="en-GB" w:eastAsia="zh-CN"/>
              </w:rPr>
              <w:t>%</w:t>
            </w:r>
          </w:p>
          <w:p w14:paraId="3BD18FF8">
            <w:pPr>
              <w:widowControl/>
              <w:adjustRightInd w:val="0"/>
              <w:snapToGrid w:val="0"/>
              <w:spacing w:after="0" w:line="264" w:lineRule="auto"/>
              <w:ind w:firstLine="0" w:firstLineChars="0"/>
              <w:jc w:val="both"/>
              <w:rPr>
                <w:rFonts w:hint="eastAsia" w:ascii="Times New Roman" w:hAnsi="Times New Roman" w:cs="Times New Roman"/>
                <w:sz w:val="24"/>
                <w:szCs w:val="24"/>
                <w:lang w:val="en-GB" w:eastAsia="zh-CN"/>
              </w:rPr>
            </w:pPr>
            <w:r>
              <w:rPr>
                <w:rFonts w:hint="eastAsia" w:ascii="Times New Roman" w:hAnsi="Times New Roman" w:cs="Times New Roman"/>
                <w:sz w:val="24"/>
                <w:szCs w:val="24"/>
                <w:lang w:val="en-GB" w:eastAsia="zh-CN"/>
              </w:rPr>
              <w:t>2024年西安市大型零售商业地产开发和运营市场：</w:t>
            </w:r>
          </w:p>
          <w:p w14:paraId="79BC2576">
            <w:pPr>
              <w:widowControl/>
              <w:adjustRightInd w:val="0"/>
              <w:snapToGrid w:val="0"/>
              <w:spacing w:after="0" w:line="264" w:lineRule="auto"/>
              <w:ind w:firstLine="0" w:firstLineChars="0"/>
              <w:jc w:val="both"/>
              <w:rPr>
                <w:rFonts w:hint="eastAsia" w:ascii="Times New Roman" w:hAnsi="Times New Roman" w:cs="Times New Roman"/>
                <w:sz w:val="24"/>
                <w:szCs w:val="24"/>
                <w:lang w:val="en-GB" w:eastAsia="zh-CN"/>
              </w:rPr>
            </w:pPr>
            <w:r>
              <w:rPr>
                <w:rFonts w:hint="eastAsia" w:ascii="Times New Roman" w:hAnsi="Times New Roman" w:cs="Times New Roman"/>
                <w:sz w:val="24"/>
                <w:szCs w:val="24"/>
                <w:lang w:val="en-GB" w:eastAsia="zh-CN"/>
              </w:rPr>
              <w:t>华润集团（含目标公司）：5</w:t>
            </w:r>
            <w:r>
              <w:rPr>
                <w:rFonts w:hint="eastAsia" w:cs="Times New Roman"/>
                <w:sz w:val="24"/>
                <w:szCs w:val="24"/>
                <w:lang w:val="en-US" w:eastAsia="zh-CN"/>
              </w:rPr>
              <w:t>%</w:t>
            </w:r>
            <w:r>
              <w:rPr>
                <w:rFonts w:hint="eastAsia" w:ascii="Times New Roman" w:hAnsi="Times New Roman" w:cs="Times New Roman"/>
                <w:sz w:val="24"/>
                <w:szCs w:val="24"/>
                <w:lang w:val="en-US" w:eastAsia="zh-CN"/>
              </w:rPr>
              <w:t>-10</w:t>
            </w:r>
            <w:r>
              <w:rPr>
                <w:rFonts w:hint="eastAsia" w:ascii="Times New Roman" w:hAnsi="Times New Roman" w:cs="Times New Roman"/>
                <w:sz w:val="24"/>
                <w:szCs w:val="24"/>
                <w:lang w:val="en-GB" w:eastAsia="zh-CN"/>
              </w:rPr>
              <w:t>%</w:t>
            </w:r>
          </w:p>
          <w:p w14:paraId="635CF880">
            <w:pPr>
              <w:widowControl/>
              <w:adjustRightInd w:val="0"/>
              <w:snapToGrid w:val="0"/>
              <w:spacing w:after="0" w:line="264" w:lineRule="auto"/>
              <w:ind w:firstLine="0" w:firstLineChars="0"/>
              <w:jc w:val="both"/>
              <w:rPr>
                <w:rFonts w:hint="eastAsia" w:ascii="Times New Roman" w:hAnsi="Times New Roman" w:cs="Times New Roman"/>
                <w:sz w:val="24"/>
                <w:szCs w:val="24"/>
                <w:lang w:val="en-GB" w:eastAsia="zh-CN"/>
              </w:rPr>
            </w:pPr>
            <w:r>
              <w:rPr>
                <w:rFonts w:hint="eastAsia" w:ascii="Times New Roman" w:hAnsi="Times New Roman" w:cs="Times New Roman"/>
                <w:sz w:val="24"/>
                <w:szCs w:val="24"/>
                <w:lang w:val="en-GB" w:eastAsia="zh-CN"/>
              </w:rPr>
              <w:t>2024年大连市大型零售商业地产开发和运营市场：</w:t>
            </w:r>
          </w:p>
          <w:p w14:paraId="3FEB9CAC">
            <w:pPr>
              <w:widowControl/>
              <w:adjustRightInd w:val="0"/>
              <w:snapToGrid w:val="0"/>
              <w:spacing w:after="0" w:line="264" w:lineRule="auto"/>
              <w:ind w:firstLine="0" w:firstLineChars="0"/>
              <w:jc w:val="both"/>
              <w:rPr>
                <w:rFonts w:ascii="Times New Roman" w:hAnsi="Times New Roman" w:eastAsia="宋体" w:cs="Times New Roman"/>
                <w:bCs/>
                <w:color w:val="000000"/>
                <w:kern w:val="0"/>
                <w:sz w:val="24"/>
                <w:szCs w:val="24"/>
                <w:lang w:val="en-US" w:eastAsia="zh-CN" w:bidi="ar-SA"/>
              </w:rPr>
            </w:pPr>
            <w:r>
              <w:rPr>
                <w:rFonts w:hint="eastAsia" w:ascii="Times New Roman" w:hAnsi="Times New Roman" w:cs="Times New Roman"/>
                <w:sz w:val="24"/>
                <w:szCs w:val="24"/>
                <w:lang w:val="en-GB" w:eastAsia="zh-CN"/>
              </w:rPr>
              <w:t>华润集团（含目标公司）：</w:t>
            </w:r>
            <w:r>
              <w:rPr>
                <w:rFonts w:hint="eastAsia" w:cs="Times New Roman"/>
                <w:sz w:val="24"/>
                <w:szCs w:val="24"/>
                <w:lang w:val="en-US" w:eastAsia="zh-CN"/>
              </w:rPr>
              <w:t>10%</w:t>
            </w:r>
            <w:r>
              <w:rPr>
                <w:rFonts w:hint="eastAsia" w:ascii="Times New Roman" w:hAnsi="Times New Roman" w:cs="Times New Roman"/>
                <w:sz w:val="24"/>
                <w:szCs w:val="24"/>
                <w:lang w:val="en-US" w:eastAsia="zh-CN"/>
              </w:rPr>
              <w:t>-1</w:t>
            </w:r>
            <w:r>
              <w:rPr>
                <w:rFonts w:hint="eastAsia" w:cs="Times New Roman"/>
                <w:sz w:val="24"/>
                <w:szCs w:val="24"/>
                <w:lang w:val="en-US" w:eastAsia="zh-CN"/>
              </w:rPr>
              <w:t>5</w:t>
            </w:r>
            <w:r>
              <w:rPr>
                <w:rFonts w:hint="eastAsia" w:ascii="Times New Roman" w:hAnsi="Times New Roman" w:cs="Times New Roman"/>
                <w:sz w:val="24"/>
                <w:szCs w:val="24"/>
                <w:lang w:val="en-GB" w:eastAsia="zh-CN"/>
              </w:rPr>
              <w:t>%</w:t>
            </w:r>
          </w:p>
        </w:tc>
      </w:tr>
    </w:tbl>
    <w:p w14:paraId="2B3F3800">
      <w:pPr>
        <w:rPr>
          <w:rFonts w:hint="default" w:ascii="Times New Roman" w:hAnsi="Times New Roman" w:eastAsia="宋体" w:cs="Times New Roman"/>
        </w:rPr>
      </w:pPr>
    </w:p>
    <w:p w14:paraId="7E06567A">
      <w:bookmarkStart w:id="0" w:name="_GoBack"/>
      <w:bookmarkEnd w:id="0"/>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92234F"/>
    <w:rsid w:val="1992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First Indent"/>
    <w:basedOn w:val="2"/>
    <w:qFormat/>
    <w:uiPriority w:val="0"/>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2</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2025-10-24T03:01:00Z</dcterms:created>
  <dc:creator>胡翌婧</dc:creator>
  <cp:lastModifiedBy>胡翌婧</cp:lastModifiedBy>
  <dcterms:modified xsi:type="dcterms:W3CDTF">2025-10-24T03:02:19Z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06F736940DCB44B983D7102C7A35062B_11</vt:lpwstr>
  </property>
  <property fmtid="{D5CDD505-2E9C-101B-9397-08002B2CF9AE}" pid="4" name="KSOTemplateDocerSaveRecord">
    <vt:lpwstr>eyJoZGlkIjoiODNjM2VkZWUwYjdkZDYzZGY2NmZiZGNiZGIyMjFjYWIiLCJ1c2VySWQiOiIxMDI4NzQ1MTQzIn0=</vt:lpwstr>
  </property>
</Properties>
</file>