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C826E8">
      <w:pPr>
        <w:widowControl/>
        <w:spacing w:after="240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GB" w:bidi="ar-AE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GB" w:bidi="ar-AE"/>
        </w:rPr>
        <w:t>经营者集中简易案件公示表</w:t>
      </w:r>
    </w:p>
    <w:tbl>
      <w:tblPr>
        <w:tblStyle w:val="2"/>
        <w:tblW w:w="964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517"/>
        <w:gridCol w:w="6183"/>
      </w:tblGrid>
      <w:tr w14:paraId="12EA8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940" w:type="dxa"/>
            <w:shd w:val="clear" w:color="auto" w:fill="D9D9D9"/>
            <w:vAlign w:val="center"/>
          </w:tcPr>
          <w:p w14:paraId="725C1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17B5C5FD"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AE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华润环保发展有限公司收购电投融和新能源发展有限公司股权案</w:t>
            </w:r>
          </w:p>
        </w:tc>
      </w:tr>
      <w:tr w14:paraId="0B492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940" w:type="dxa"/>
            <w:shd w:val="clear" w:color="auto" w:fill="D9D9D9"/>
            <w:vAlign w:val="center"/>
          </w:tcPr>
          <w:p w14:paraId="326C8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交易概况</w:t>
            </w:r>
          </w:p>
          <w:p w14:paraId="01B0E1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GB" w:eastAsia="zh-CN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（限200字内）</w:t>
            </w:r>
          </w:p>
        </w:tc>
        <w:tc>
          <w:tcPr>
            <w:tcW w:w="7700" w:type="dxa"/>
            <w:gridSpan w:val="2"/>
            <w:vAlign w:val="top"/>
          </w:tcPr>
          <w:p w14:paraId="34FD1AC4">
            <w:pPr>
              <w:widowControl/>
              <w:adjustRightInd w:val="0"/>
              <w:snapToGrid w:val="0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华润环保发展有限公司（“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华润环保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”）和国家电力投资集团有限公司（“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国电投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”）签署协议，华润环保收购国电投所持有的电投融和新能源发展有限公司（“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电投融和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”）35.64%的股份。电投融和主要从事新能源发电业务，融资租赁、商业保理等类金融业务。交易前，国电投持有电投融和35.64%的股份，单独控制电投融和。交易后，华润环保持有电投融和35.64%的股份，单独控制电投融和。</w:t>
            </w:r>
          </w:p>
        </w:tc>
      </w:tr>
      <w:tr w14:paraId="56D46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120C2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参与集中的</w:t>
            </w:r>
          </w:p>
          <w:p w14:paraId="5D109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GB" w:eastAsia="zh-CN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经营者简介</w:t>
            </w:r>
          </w:p>
        </w:tc>
        <w:tc>
          <w:tcPr>
            <w:tcW w:w="1517" w:type="dxa"/>
            <w:vAlign w:val="center"/>
          </w:tcPr>
          <w:p w14:paraId="2886B878">
            <w:pPr>
              <w:widowControl/>
              <w:adjustRightInd w:val="0"/>
              <w:snapToGrid w:val="0"/>
              <w:rPr>
                <w:rFonts w:hint="eastAsia" w:ascii="Times New Roman" w:hAnsi="Times New Roman" w:eastAsia="宋体" w:cs="Times New Roman"/>
                <w:sz w:val="24"/>
                <w:lang w:val="en-GB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1、华润环保</w:t>
            </w:r>
          </w:p>
        </w:tc>
        <w:tc>
          <w:tcPr>
            <w:tcW w:w="6183" w:type="dxa"/>
            <w:vAlign w:val="center"/>
          </w:tcPr>
          <w:p w14:paraId="5B27F0E0">
            <w:pPr>
              <w:widowControl/>
              <w:adjustRightInd w:val="0"/>
              <w:snapToGrid w:val="0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华润环保于2020年4月9日成立于广东省深圳市，主要从事污水、固废、危废等资源化再利用和环保技术服务业务，逐步拓展资源循环领域业务，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包括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再生资源产业园投资建设运营、涉密销毁业务、多品类资源循环业务。</w:t>
            </w:r>
          </w:p>
          <w:p w14:paraId="37620BBE">
            <w:pPr>
              <w:widowControl/>
              <w:adjustRightInd w:val="0"/>
              <w:snapToGrid w:val="0"/>
              <w:rPr>
                <w:rFonts w:hint="eastAsia" w:ascii="Times New Roman" w:hAnsi="Times New Roman" w:eastAsia="宋体" w:cs="Times New Roman"/>
                <w:sz w:val="24"/>
                <w:lang w:val="en-GB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华润环保最终控制人为中国资源循环集团有限公司，主要从事再生钢铁、再生纤维等再生资源循环利用业务，以及功能性资源回收再利用平台开发等再生资源循环延伸板块业务。</w:t>
            </w:r>
          </w:p>
        </w:tc>
      </w:tr>
      <w:tr w14:paraId="5DEA5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739AD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GB" w:eastAsia="zh-CN"/>
              </w:rPr>
            </w:pPr>
          </w:p>
        </w:tc>
        <w:tc>
          <w:tcPr>
            <w:tcW w:w="1517" w:type="dxa"/>
            <w:vAlign w:val="center"/>
          </w:tcPr>
          <w:p w14:paraId="17E5CF2A">
            <w:pPr>
              <w:widowControl/>
              <w:adjustRightInd w:val="0"/>
              <w:snapToGrid w:val="0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2、电投融和</w:t>
            </w:r>
          </w:p>
        </w:tc>
        <w:tc>
          <w:tcPr>
            <w:tcW w:w="6183" w:type="dxa"/>
            <w:vAlign w:val="center"/>
          </w:tcPr>
          <w:p w14:paraId="5E30D530">
            <w:pPr>
              <w:widowControl/>
              <w:adjustRightInd w:val="0"/>
              <w:snapToGrid w:val="0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电投融和于2013年12月10日成立于北京市，主要从事新能源发电业务，融资租赁，商业保理等类金融业务。</w:t>
            </w:r>
          </w:p>
          <w:p w14:paraId="25C47DAA">
            <w:pPr>
              <w:widowControl/>
              <w:adjustRightInd w:val="0"/>
              <w:snapToGrid w:val="0"/>
              <w:rPr>
                <w:rFonts w:hint="eastAsia" w:ascii="Times New Roman" w:hAnsi="Times New Roman" w:eastAsia="宋体" w:cs="Times New Roman"/>
                <w:sz w:val="24"/>
                <w:lang w:val="en-GB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电投融和最终控制人为国家电力投资集团有限公司，主要从事核电、风电、光伏等新能源发电业务，水电、火电、煤炭等传统业务，铝业生产与加工业务，绿电转化业务等。</w:t>
            </w:r>
          </w:p>
        </w:tc>
      </w:tr>
      <w:tr w14:paraId="5612A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003E97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GB" w:eastAsia="zh-CN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top"/>
          </w:tcPr>
          <w:p w14:paraId="4B9856C9">
            <w:pPr>
              <w:widowControl/>
              <w:adjustRightInd w:val="0"/>
              <w:snapToGrid w:val="0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sym w:font="Wingdings" w:char="F0A8"/>
            </w: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 1.在同一相关市场，所有参与集中的经营者所占市场份额之和小于15%。</w:t>
            </w:r>
          </w:p>
        </w:tc>
      </w:tr>
      <w:tr w14:paraId="40DE5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3052D4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GB" w:eastAsia="zh-CN"/>
              </w:rPr>
            </w:pPr>
          </w:p>
        </w:tc>
        <w:tc>
          <w:tcPr>
            <w:tcW w:w="7700" w:type="dxa"/>
            <w:gridSpan w:val="2"/>
            <w:vAlign w:val="top"/>
          </w:tcPr>
          <w:p w14:paraId="0D4EEA76">
            <w:pPr>
              <w:widowControl/>
              <w:adjustRightInd w:val="0"/>
              <w:snapToGrid w:val="0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sym w:font="Wingdings" w:char="F0A8"/>
            </w: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 2.存在上下游关系的参与集中的经营者，在上下游市场所占的市场份额均小于25%。</w:t>
            </w:r>
          </w:p>
        </w:tc>
      </w:tr>
      <w:tr w14:paraId="2CAFD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6742C8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GB" w:eastAsia="zh-CN"/>
              </w:rPr>
            </w:pPr>
          </w:p>
        </w:tc>
        <w:tc>
          <w:tcPr>
            <w:tcW w:w="7700" w:type="dxa"/>
            <w:gridSpan w:val="2"/>
            <w:vAlign w:val="top"/>
          </w:tcPr>
          <w:p w14:paraId="69433B50">
            <w:pPr>
              <w:widowControl/>
              <w:adjustRightInd w:val="0"/>
              <w:snapToGrid w:val="0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sym w:font="Wingdings" w:char="F0FE"/>
            </w: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 3.不在同一相关市场、也不存在上下游关系的参与集中的经营者，在与交易有关的每个市场所占的份额均小于25%。</w:t>
            </w:r>
          </w:p>
        </w:tc>
      </w:tr>
      <w:tr w14:paraId="41C52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28981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GB" w:eastAsia="zh-CN"/>
              </w:rPr>
            </w:pPr>
          </w:p>
        </w:tc>
        <w:tc>
          <w:tcPr>
            <w:tcW w:w="7700" w:type="dxa"/>
            <w:gridSpan w:val="2"/>
            <w:vAlign w:val="top"/>
          </w:tcPr>
          <w:p w14:paraId="46E7828E">
            <w:pPr>
              <w:widowControl/>
              <w:adjustRightInd w:val="0"/>
              <w:snapToGrid w:val="0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sym w:font="Wingdings" w:char="F0A8"/>
            </w: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 4.参与集中的经营者在中国境外设立合营企业，合营企业不在中国境内从事经济活动。</w:t>
            </w:r>
          </w:p>
        </w:tc>
      </w:tr>
      <w:tr w14:paraId="5CD35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40771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GB" w:eastAsia="zh-CN"/>
              </w:rPr>
            </w:pPr>
          </w:p>
        </w:tc>
        <w:tc>
          <w:tcPr>
            <w:tcW w:w="7700" w:type="dxa"/>
            <w:gridSpan w:val="2"/>
            <w:vAlign w:val="top"/>
          </w:tcPr>
          <w:p w14:paraId="1A0300CB">
            <w:pPr>
              <w:widowControl/>
              <w:adjustRightInd w:val="0"/>
              <w:snapToGrid w:val="0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sym w:font="Wingdings" w:char="F0A8"/>
            </w: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 5.参与集中的经营者收购境外企业股权或资产的，该境外企业不在中国境内从事经济活动。</w:t>
            </w:r>
          </w:p>
        </w:tc>
      </w:tr>
      <w:tr w14:paraId="29BB6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0345B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GB" w:eastAsia="zh-CN"/>
              </w:rPr>
            </w:pPr>
          </w:p>
        </w:tc>
        <w:tc>
          <w:tcPr>
            <w:tcW w:w="7700" w:type="dxa"/>
            <w:gridSpan w:val="2"/>
            <w:vAlign w:val="top"/>
          </w:tcPr>
          <w:p w14:paraId="5CCC38A9">
            <w:pPr>
              <w:widowControl/>
              <w:adjustRightInd w:val="0"/>
              <w:snapToGrid w:val="0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sym w:font="Wingdings" w:char="F0A8"/>
            </w: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 6.由两个以上的经营者共同控制的合营企业，通过集中被其中一个或一个以上经营者控制。</w:t>
            </w:r>
          </w:p>
        </w:tc>
      </w:tr>
      <w:tr w14:paraId="0403C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1940" w:type="dxa"/>
            <w:shd w:val="clear" w:color="auto" w:fill="D9D9D9"/>
            <w:vAlign w:val="center"/>
          </w:tcPr>
          <w:p w14:paraId="06E10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GB" w:eastAsia="zh-CN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备注</w:t>
            </w:r>
          </w:p>
        </w:tc>
        <w:tc>
          <w:tcPr>
            <w:tcW w:w="7700" w:type="dxa"/>
            <w:gridSpan w:val="2"/>
            <w:vAlign w:val="top"/>
          </w:tcPr>
          <w:p w14:paraId="06621A82">
            <w:pPr>
              <w:widowControl/>
              <w:adjustRightInd w:val="0"/>
              <w:snapToGrid w:val="0"/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混合集中：</w:t>
            </w:r>
          </w:p>
          <w:p w14:paraId="610E89EF">
            <w:pPr>
              <w:widowControl/>
              <w:adjustRightInd w:val="0"/>
              <w:snapToGrid w:val="0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2024年中国境内电力生产和供应市场：</w:t>
            </w:r>
          </w:p>
          <w:p w14:paraId="4C19BED8">
            <w:pPr>
              <w:widowControl/>
              <w:adjustRightInd w:val="0"/>
              <w:snapToGrid w:val="0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电投融和：0-5%</w:t>
            </w:r>
          </w:p>
          <w:p w14:paraId="7606C6D7">
            <w:pPr>
              <w:widowControl/>
              <w:adjustRightInd w:val="0"/>
              <w:snapToGrid w:val="0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2024年中国境内融资租赁市场：</w:t>
            </w:r>
          </w:p>
          <w:p w14:paraId="360AE9B6">
            <w:pPr>
              <w:widowControl/>
              <w:adjustRightInd w:val="0"/>
              <w:snapToGrid w:val="0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电投融和：0-5%</w:t>
            </w:r>
          </w:p>
          <w:p w14:paraId="496A814E">
            <w:pPr>
              <w:widowControl/>
              <w:adjustRightInd w:val="0"/>
              <w:snapToGrid w:val="0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2024年中国境内商业保理服务市场：</w:t>
            </w:r>
          </w:p>
          <w:p w14:paraId="6B2EFA0F">
            <w:pPr>
              <w:widowControl/>
              <w:adjustRightInd w:val="0"/>
              <w:snapToGrid w:val="0"/>
              <w:rPr>
                <w:rFonts w:hint="eastAsia" w:ascii="Times New Roman" w:hAnsi="Times New Roman" w:eastAsia="宋体" w:cs="Times New Roman"/>
                <w:sz w:val="24"/>
                <w:lang w:val="en-GB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电投融和：0-5%</w:t>
            </w:r>
          </w:p>
        </w:tc>
      </w:tr>
    </w:tbl>
    <w:p w14:paraId="21DB0E95">
      <w:pPr>
        <w:rPr>
          <w:rFonts w:hint="default" w:ascii="Times New Roman" w:hAnsi="Times New Roman" w:cs="Times New Roman" w:eastAsiaTheme="minorEastAsia"/>
        </w:rPr>
      </w:pPr>
    </w:p>
    <w:p w14:paraId="18BF447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527"/>
    <w:rsid w:val="00911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2025-12-11T01:16:00Z</dcterms:created>
  <dc:creator>王雪娇</dc:creator>
  <cp:lastModifiedBy>王雪娇</cp:lastModifiedBy>
  <dcterms:modified xsi:type="dcterms:W3CDTF">2025-12-11T01:17:28Z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3DB99D3346B646A7BC9A80860D0CD626_11</vt:lpwstr>
  </property>
  <property fmtid="{D5CDD505-2E9C-101B-9397-08002B2CF9AE}" pid="4" name="KSOTemplateDocerSaveRecord">
    <vt:lpwstr>eyJoZGlkIjoiODNjM2VkZWUwYjdkZDYzZGY2NmZiZGNiZGIyMjFjYWIiLCJ1c2VySWQiOiIxMjE0ODEzMDc5In0=</vt:lpwstr>
  </property>
</Properties>
</file>