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6ABBB7">
      <w:pPr>
        <w:widowControl/>
        <w:spacing w:after="240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GB" w:bidi="ar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GB" w:bidi="ar"/>
        </w:rPr>
        <w:t>经营者集中简易案件公示表</w:t>
      </w:r>
    </w:p>
    <w:tbl>
      <w:tblPr>
        <w:tblStyle w:val="3"/>
        <w:tblW w:w="9640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0"/>
        <w:gridCol w:w="1476"/>
        <w:gridCol w:w="6224"/>
      </w:tblGrid>
      <w:tr w14:paraId="20D149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1940" w:type="dxa"/>
            <w:shd w:val="clear" w:color="auto" w:fill="D9D9D9"/>
            <w:vAlign w:val="center"/>
          </w:tcPr>
          <w:p w14:paraId="06065F17">
            <w:pPr>
              <w:pStyle w:val="2"/>
              <w:widowControl/>
              <w:adjustRightInd w:val="0"/>
              <w:snapToGrid w:val="0"/>
              <w:spacing w:after="0"/>
              <w:jc w:val="center"/>
              <w:rPr>
                <w:bCs/>
                <w:color w:val="000000"/>
                <w:sz w:val="24"/>
              </w:rPr>
            </w:pPr>
            <w:r>
              <w:rPr>
                <w:bCs/>
                <w:color w:val="000000"/>
                <w:sz w:val="24"/>
              </w:rPr>
              <w:t>案件名称</w:t>
            </w:r>
          </w:p>
        </w:tc>
        <w:tc>
          <w:tcPr>
            <w:tcW w:w="7700" w:type="dxa"/>
            <w:gridSpan w:val="2"/>
            <w:vAlign w:val="center"/>
          </w:tcPr>
          <w:p w14:paraId="4C505AAA">
            <w:pPr>
              <w:widowControl/>
              <w:adjustRightInd w:val="0"/>
              <w:snapToGrid w:val="0"/>
              <w:rPr>
                <w:bCs/>
                <w:color w:val="000000"/>
                <w:sz w:val="24"/>
              </w:rPr>
            </w:pPr>
            <w:r>
              <w:rPr>
                <w:rFonts w:hint="eastAsia"/>
                <w:sz w:val="24"/>
              </w:rPr>
              <w:t>广州轻工工贸集团有限公司收购沧州明珠塑料股份有限公司股权案</w:t>
            </w:r>
          </w:p>
        </w:tc>
      </w:tr>
      <w:tr w14:paraId="2ABE27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1" w:hRule="atLeast"/>
        </w:trPr>
        <w:tc>
          <w:tcPr>
            <w:tcW w:w="1940" w:type="dxa"/>
            <w:shd w:val="clear" w:color="auto" w:fill="D9D9D9"/>
            <w:vAlign w:val="center"/>
          </w:tcPr>
          <w:p w14:paraId="1170DC92">
            <w:pPr>
              <w:pStyle w:val="2"/>
              <w:widowControl/>
              <w:adjustRightInd w:val="0"/>
              <w:snapToGrid w:val="0"/>
              <w:spacing w:after="0"/>
              <w:jc w:val="center"/>
              <w:rPr>
                <w:bCs/>
                <w:color w:val="000000"/>
                <w:sz w:val="24"/>
              </w:rPr>
            </w:pPr>
            <w:r>
              <w:rPr>
                <w:bCs/>
                <w:color w:val="000000"/>
                <w:sz w:val="24"/>
              </w:rPr>
              <w:t>交易概况（限200字内）</w:t>
            </w:r>
          </w:p>
        </w:tc>
        <w:tc>
          <w:tcPr>
            <w:tcW w:w="7700" w:type="dxa"/>
            <w:gridSpan w:val="2"/>
            <w:vAlign w:val="center"/>
          </w:tcPr>
          <w:p w14:paraId="7C2B9656">
            <w:pPr>
              <w:widowControl/>
              <w:adjustRightInd w:val="0"/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广州轻工工贸集团有限公司（“广州轻工集团”）收购河北沧州东塑集团股份有限公司（“河北东塑集团”）持有的沧州明珠塑料股份有限公司（“沧州明珠”）10.10%股份，并额外取得表决权委托。沧州明珠主要从事PE管道、BOPA薄膜和锂离子电池隔膜业务。交易前，河北东塑集团及其一致行动人持有沧州明珠19.78%股份，单独控制沧州明珠。交易后，广州轻工集团持有沧州明珠10.10%股份并享有沧州明珠19.78%股份对应的表决权，单独控制沧州明珠。</w:t>
            </w:r>
          </w:p>
        </w:tc>
      </w:tr>
      <w:tr w14:paraId="6E365E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1940" w:type="dxa"/>
            <w:vMerge w:val="restart"/>
            <w:shd w:val="clear" w:color="auto" w:fill="D9D9D9"/>
            <w:vAlign w:val="center"/>
          </w:tcPr>
          <w:p w14:paraId="53D01286">
            <w:pPr>
              <w:pStyle w:val="2"/>
              <w:widowControl/>
              <w:adjustRightInd w:val="0"/>
              <w:snapToGrid w:val="0"/>
              <w:spacing w:after="0"/>
              <w:jc w:val="center"/>
              <w:rPr>
                <w:bCs/>
                <w:color w:val="000000"/>
                <w:sz w:val="24"/>
              </w:rPr>
            </w:pPr>
            <w:r>
              <w:rPr>
                <w:bCs/>
                <w:color w:val="000000"/>
                <w:sz w:val="24"/>
              </w:rPr>
              <w:t>参与集中的经营者简介（每个限100字内）</w:t>
            </w:r>
          </w:p>
        </w:tc>
        <w:tc>
          <w:tcPr>
            <w:tcW w:w="1476" w:type="dxa"/>
            <w:vAlign w:val="center"/>
          </w:tcPr>
          <w:p w14:paraId="188F07AB">
            <w:pPr>
              <w:pStyle w:val="2"/>
              <w:widowControl/>
              <w:adjustRightInd w:val="0"/>
              <w:snapToGrid w:val="0"/>
              <w:spacing w:after="0"/>
              <w:rPr>
                <w:bCs/>
                <w:color w:val="000000"/>
                <w:sz w:val="24"/>
              </w:rPr>
            </w:pPr>
            <w:r>
              <w:rPr>
                <w:bCs/>
                <w:color w:val="000000"/>
                <w:sz w:val="24"/>
              </w:rPr>
              <w:t>1.</w:t>
            </w:r>
            <w:r>
              <w:rPr>
                <w:rFonts w:hint="eastAsia"/>
                <w:bCs/>
                <w:color w:val="000000"/>
                <w:sz w:val="24"/>
              </w:rPr>
              <w:t>广州轻工集团</w:t>
            </w:r>
          </w:p>
        </w:tc>
        <w:tc>
          <w:tcPr>
            <w:tcW w:w="6224" w:type="dxa"/>
            <w:vAlign w:val="center"/>
          </w:tcPr>
          <w:p w14:paraId="0E94CC57">
            <w:pPr>
              <w:pStyle w:val="2"/>
              <w:widowControl/>
              <w:adjustRightInd w:val="0"/>
              <w:snapToGrid w:val="0"/>
              <w:spacing w:after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广州轻工集团于2002年12月12日成立于广东省广州市，主要在全球范围内和中国境内从事日用消费品、现代服务、时尚文体三大核心产业。</w:t>
            </w:r>
          </w:p>
          <w:p w14:paraId="44F8D4D5">
            <w:pPr>
              <w:pStyle w:val="2"/>
              <w:widowControl/>
              <w:adjustRightInd w:val="0"/>
              <w:snapToGrid w:val="0"/>
              <w:spacing w:after="0"/>
              <w:rPr>
                <w:bCs/>
                <w:color w:val="000000"/>
                <w:sz w:val="24"/>
              </w:rPr>
            </w:pPr>
            <w:r>
              <w:rPr>
                <w:rFonts w:hint="eastAsia"/>
                <w:sz w:val="24"/>
              </w:rPr>
              <w:t>广州轻工集团是广州市人民政府办公厅和广东省财政厅下属企业。</w:t>
            </w:r>
          </w:p>
        </w:tc>
      </w:tr>
      <w:tr w14:paraId="4C9250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1940" w:type="dxa"/>
            <w:vMerge w:val="continue"/>
            <w:shd w:val="clear" w:color="auto" w:fill="D9D9D9"/>
            <w:vAlign w:val="center"/>
          </w:tcPr>
          <w:p w14:paraId="3198C8DF">
            <w:pPr>
              <w:pStyle w:val="2"/>
              <w:widowControl/>
              <w:adjustRightInd w:val="0"/>
              <w:snapToGrid w:val="0"/>
              <w:spacing w:after="0"/>
              <w:jc w:val="center"/>
              <w:rPr>
                <w:bCs/>
                <w:color w:val="000000"/>
                <w:sz w:val="24"/>
              </w:rPr>
            </w:pPr>
          </w:p>
        </w:tc>
        <w:tc>
          <w:tcPr>
            <w:tcW w:w="1476" w:type="dxa"/>
            <w:vAlign w:val="center"/>
          </w:tcPr>
          <w:p w14:paraId="47AA1E12">
            <w:pPr>
              <w:pStyle w:val="2"/>
              <w:widowControl/>
              <w:adjustRightInd w:val="0"/>
              <w:snapToGrid w:val="0"/>
              <w:spacing w:after="0"/>
              <w:rPr>
                <w:bCs/>
                <w:color w:val="000000"/>
                <w:sz w:val="24"/>
              </w:rPr>
            </w:pPr>
            <w:r>
              <w:rPr>
                <w:bCs/>
                <w:color w:val="000000"/>
                <w:sz w:val="24"/>
              </w:rPr>
              <w:t>2.</w:t>
            </w:r>
            <w:r>
              <w:rPr>
                <w:rFonts w:hint="eastAsia"/>
                <w:bCs/>
                <w:color w:val="000000"/>
                <w:sz w:val="24"/>
              </w:rPr>
              <w:t>沧州明珠</w:t>
            </w:r>
          </w:p>
        </w:tc>
        <w:tc>
          <w:tcPr>
            <w:tcW w:w="6224" w:type="dxa"/>
            <w:vAlign w:val="center"/>
          </w:tcPr>
          <w:p w14:paraId="3D181EE4">
            <w:pPr>
              <w:pStyle w:val="2"/>
              <w:widowControl/>
              <w:adjustRightInd w:val="0"/>
              <w:snapToGrid w:val="0"/>
              <w:spacing w:after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沧州明珠于1995年1月2日成立于河北省沧州市，为深圳证券交易所上市公司，主要在全球范围内和中国境内从事PE管道、BOPA薄膜和锂离子电池隔膜业务。</w:t>
            </w:r>
          </w:p>
          <w:p w14:paraId="5EB109BF">
            <w:pPr>
              <w:pStyle w:val="2"/>
              <w:widowControl/>
              <w:adjustRightInd w:val="0"/>
              <w:snapToGrid w:val="0"/>
              <w:spacing w:after="0"/>
              <w:rPr>
                <w:sz w:val="24"/>
              </w:rPr>
            </w:pPr>
            <w:r>
              <w:rPr>
                <w:rFonts w:hint="eastAsia"/>
                <w:sz w:val="24"/>
              </w:rPr>
              <w:t>沧州明珠的最终控制人为自然人，该自然人通过河北东塑集团参与以工业为主，多元发展涉及商贸产业、地产开发、白酒产销、物流仓储、酒店服务、教育等领域的业务经营。</w:t>
            </w:r>
          </w:p>
        </w:tc>
      </w:tr>
      <w:tr w14:paraId="692C3B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1940" w:type="dxa"/>
            <w:vMerge w:val="restart"/>
            <w:shd w:val="clear" w:color="auto" w:fill="D9D9D9"/>
            <w:vAlign w:val="center"/>
          </w:tcPr>
          <w:p w14:paraId="1C731BBC">
            <w:pPr>
              <w:pStyle w:val="2"/>
              <w:widowControl/>
              <w:adjustRightInd w:val="0"/>
              <w:snapToGrid w:val="0"/>
              <w:spacing w:after="0"/>
              <w:jc w:val="center"/>
              <w:rPr>
                <w:bCs/>
                <w:color w:val="000000"/>
                <w:sz w:val="24"/>
              </w:rPr>
            </w:pPr>
            <w:r>
              <w:rPr>
                <w:bCs/>
                <w:color w:val="000000"/>
                <w:sz w:val="24"/>
              </w:rPr>
              <w:t>简易案件理由（可以单选，也可以多选）</w:t>
            </w:r>
          </w:p>
        </w:tc>
        <w:tc>
          <w:tcPr>
            <w:tcW w:w="7700" w:type="dxa"/>
            <w:gridSpan w:val="2"/>
            <w:vAlign w:val="center"/>
          </w:tcPr>
          <w:p w14:paraId="09F0F5E8">
            <w:pPr>
              <w:pStyle w:val="2"/>
              <w:widowControl/>
              <w:adjustRightInd w:val="0"/>
              <w:snapToGrid w:val="0"/>
              <w:spacing w:after="0"/>
              <w:rPr>
                <w:bCs/>
                <w:color w:val="000000"/>
                <w:sz w:val="24"/>
              </w:rPr>
            </w:pPr>
            <w:r>
              <w:rPr>
                <w:bCs/>
                <w:color w:val="000000"/>
                <w:sz w:val="24"/>
              </w:rPr>
              <w:sym w:font="Wingdings" w:char="00A8"/>
            </w:r>
            <w:r>
              <w:rPr>
                <w:bCs/>
                <w:color w:val="000000"/>
                <w:sz w:val="24"/>
              </w:rPr>
              <w:t xml:space="preserve"> 1、在同一相关市场，所有参与集中的经营者所占市场份额之和小于15%。</w:t>
            </w:r>
          </w:p>
        </w:tc>
      </w:tr>
      <w:tr w14:paraId="7D5915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940" w:type="dxa"/>
            <w:vMerge w:val="continue"/>
            <w:shd w:val="clear" w:color="auto" w:fill="D9D9D9"/>
            <w:vAlign w:val="center"/>
          </w:tcPr>
          <w:p w14:paraId="219B81B7">
            <w:pPr>
              <w:pStyle w:val="2"/>
              <w:widowControl/>
              <w:adjustRightInd w:val="0"/>
              <w:snapToGrid w:val="0"/>
              <w:spacing w:after="0"/>
              <w:jc w:val="center"/>
              <w:rPr>
                <w:bCs/>
                <w:color w:val="000000"/>
                <w:sz w:val="24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6E061672">
            <w:pPr>
              <w:pStyle w:val="2"/>
              <w:widowControl/>
              <w:adjustRightInd w:val="0"/>
              <w:snapToGrid w:val="0"/>
              <w:spacing w:after="0"/>
              <w:rPr>
                <w:bCs/>
                <w:color w:val="000000"/>
                <w:sz w:val="24"/>
              </w:rPr>
            </w:pPr>
            <w:r>
              <w:rPr>
                <w:bCs/>
                <w:color w:val="000000"/>
                <w:sz w:val="24"/>
              </w:rPr>
              <w:sym w:font="Wingdings" w:char="00FE"/>
            </w:r>
            <w:r>
              <w:rPr>
                <w:bCs/>
                <w:color w:val="000000"/>
                <w:sz w:val="24"/>
              </w:rPr>
              <w:t xml:space="preserve"> 2、存在上下游关系的参与集中的经营者，在上下游市场所占的市场份额均小于25%。</w:t>
            </w:r>
          </w:p>
        </w:tc>
      </w:tr>
      <w:tr w14:paraId="608636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40" w:type="dxa"/>
            <w:vMerge w:val="continue"/>
            <w:shd w:val="clear" w:color="auto" w:fill="D9D9D9"/>
            <w:vAlign w:val="center"/>
          </w:tcPr>
          <w:p w14:paraId="60579C74">
            <w:pPr>
              <w:pStyle w:val="2"/>
              <w:widowControl/>
              <w:adjustRightInd w:val="0"/>
              <w:snapToGrid w:val="0"/>
              <w:spacing w:after="0"/>
              <w:jc w:val="center"/>
              <w:rPr>
                <w:bCs/>
                <w:color w:val="000000"/>
                <w:sz w:val="24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2D16E88B">
            <w:pPr>
              <w:pStyle w:val="2"/>
              <w:widowControl/>
              <w:adjustRightInd w:val="0"/>
              <w:snapToGrid w:val="0"/>
              <w:spacing w:after="0"/>
              <w:rPr>
                <w:bCs/>
                <w:color w:val="000000"/>
                <w:sz w:val="24"/>
              </w:rPr>
            </w:pPr>
            <w:r>
              <w:rPr>
                <w:bCs/>
                <w:color w:val="000000"/>
                <w:sz w:val="24"/>
              </w:rPr>
              <w:sym w:font="Wingdings" w:char="00FE"/>
            </w:r>
            <w:r>
              <w:rPr>
                <w:bCs/>
                <w:color w:val="000000"/>
                <w:sz w:val="24"/>
              </w:rPr>
              <w:t xml:space="preserve"> 3、不在同一相关市场、也不存在上下游关系的参与集中的经营者，在与交易有关的每个市场所占的份额均小于25%。</w:t>
            </w:r>
          </w:p>
        </w:tc>
      </w:tr>
      <w:tr w14:paraId="7CCA77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940" w:type="dxa"/>
            <w:vMerge w:val="continue"/>
            <w:shd w:val="clear" w:color="auto" w:fill="D9D9D9"/>
            <w:vAlign w:val="center"/>
          </w:tcPr>
          <w:p w14:paraId="079B2450">
            <w:pPr>
              <w:pStyle w:val="2"/>
              <w:widowControl/>
              <w:adjustRightInd w:val="0"/>
              <w:snapToGrid w:val="0"/>
              <w:spacing w:after="0"/>
              <w:jc w:val="center"/>
              <w:rPr>
                <w:bCs/>
                <w:color w:val="000000"/>
                <w:sz w:val="24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25835872">
            <w:pPr>
              <w:pStyle w:val="2"/>
              <w:widowControl/>
              <w:adjustRightInd w:val="0"/>
              <w:snapToGrid w:val="0"/>
              <w:spacing w:after="0"/>
              <w:rPr>
                <w:bCs/>
                <w:color w:val="000000"/>
                <w:sz w:val="24"/>
              </w:rPr>
            </w:pPr>
            <w:r>
              <w:rPr>
                <w:bCs/>
                <w:color w:val="000000"/>
                <w:sz w:val="24"/>
              </w:rPr>
              <w:sym w:font="Wingdings" w:char="00A8"/>
            </w:r>
            <w:r>
              <w:rPr>
                <w:bCs/>
                <w:color w:val="000000"/>
                <w:sz w:val="24"/>
              </w:rPr>
              <w:t xml:space="preserve"> 4、参与集中的经营者在中国境外设立合营企业，合营企业不在中国境内从事经济活动。</w:t>
            </w:r>
          </w:p>
        </w:tc>
      </w:tr>
      <w:tr w14:paraId="0CE7AC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940" w:type="dxa"/>
            <w:vMerge w:val="continue"/>
            <w:shd w:val="clear" w:color="auto" w:fill="D9D9D9"/>
            <w:vAlign w:val="center"/>
          </w:tcPr>
          <w:p w14:paraId="5DB27817">
            <w:pPr>
              <w:pStyle w:val="2"/>
              <w:widowControl/>
              <w:adjustRightInd w:val="0"/>
              <w:snapToGrid w:val="0"/>
              <w:spacing w:after="0"/>
              <w:jc w:val="center"/>
              <w:rPr>
                <w:bCs/>
                <w:color w:val="000000"/>
                <w:sz w:val="24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57D8252D">
            <w:pPr>
              <w:pStyle w:val="2"/>
              <w:widowControl/>
              <w:adjustRightInd w:val="0"/>
              <w:snapToGrid w:val="0"/>
              <w:spacing w:after="0"/>
              <w:rPr>
                <w:bCs/>
                <w:color w:val="000000"/>
                <w:sz w:val="24"/>
              </w:rPr>
            </w:pPr>
            <w:r>
              <w:rPr>
                <w:bCs/>
                <w:color w:val="000000"/>
                <w:sz w:val="24"/>
              </w:rPr>
              <w:sym w:font="Wingdings" w:char="00A8"/>
            </w:r>
            <w:r>
              <w:rPr>
                <w:bCs/>
                <w:color w:val="000000"/>
                <w:sz w:val="24"/>
              </w:rPr>
              <w:t xml:space="preserve"> 5、参与集中的经营者收购境外企业股权或资产的，该境外企业不在中国境内从事经济活动。</w:t>
            </w:r>
          </w:p>
        </w:tc>
      </w:tr>
      <w:tr w14:paraId="54C13A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940" w:type="dxa"/>
            <w:vMerge w:val="continue"/>
            <w:shd w:val="clear" w:color="auto" w:fill="D9D9D9"/>
            <w:vAlign w:val="center"/>
          </w:tcPr>
          <w:p w14:paraId="6E2F10DB">
            <w:pPr>
              <w:pStyle w:val="2"/>
              <w:widowControl/>
              <w:adjustRightInd w:val="0"/>
              <w:snapToGrid w:val="0"/>
              <w:spacing w:after="0"/>
              <w:jc w:val="center"/>
              <w:rPr>
                <w:bCs/>
                <w:color w:val="000000"/>
                <w:sz w:val="24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682F50CD">
            <w:pPr>
              <w:pStyle w:val="2"/>
              <w:widowControl/>
              <w:adjustRightInd w:val="0"/>
              <w:snapToGrid w:val="0"/>
              <w:spacing w:after="0"/>
              <w:rPr>
                <w:bCs/>
                <w:color w:val="000000"/>
                <w:sz w:val="24"/>
              </w:rPr>
            </w:pPr>
            <w:r>
              <w:rPr>
                <w:bCs/>
                <w:color w:val="000000"/>
                <w:sz w:val="24"/>
              </w:rPr>
              <w:sym w:font="Wingdings" w:char="00A8"/>
            </w:r>
            <w:r>
              <w:rPr>
                <w:bCs/>
                <w:color w:val="000000"/>
                <w:sz w:val="24"/>
              </w:rPr>
              <w:t xml:space="preserve"> 6、由两个以上的经营者共同控制的合营企业，通过集中被其中一个或一个以上经营者控制。</w:t>
            </w:r>
          </w:p>
        </w:tc>
      </w:tr>
      <w:tr w14:paraId="41CEAF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940" w:type="dxa"/>
            <w:shd w:val="clear" w:color="auto" w:fill="D9D9D9"/>
            <w:vAlign w:val="center"/>
          </w:tcPr>
          <w:p w14:paraId="16B83475">
            <w:pPr>
              <w:pStyle w:val="2"/>
              <w:widowControl/>
              <w:adjustRightInd w:val="0"/>
              <w:snapToGrid w:val="0"/>
              <w:spacing w:after="0"/>
              <w:jc w:val="center"/>
              <w:rPr>
                <w:bCs/>
                <w:color w:val="000000"/>
                <w:sz w:val="24"/>
              </w:rPr>
            </w:pPr>
            <w:r>
              <w:rPr>
                <w:bCs/>
                <w:color w:val="000000"/>
                <w:sz w:val="24"/>
              </w:rPr>
              <w:t>备注</w:t>
            </w:r>
          </w:p>
        </w:tc>
        <w:tc>
          <w:tcPr>
            <w:tcW w:w="7700" w:type="dxa"/>
            <w:gridSpan w:val="2"/>
            <w:vAlign w:val="center"/>
          </w:tcPr>
          <w:p w14:paraId="037DA74B">
            <w:pPr>
              <w:pStyle w:val="2"/>
              <w:widowControl/>
              <w:adjustRightInd w:val="0"/>
              <w:snapToGrid w:val="0"/>
              <w:spacing w:after="0"/>
              <w:rPr>
                <w:rFonts w:hint="eastAsia"/>
                <w:b/>
                <w:color w:val="000000"/>
                <w:kern w:val="0"/>
                <w:sz w:val="24"/>
                <w:lang w:val="en-GB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  <w:lang w:val="en-GB"/>
              </w:rPr>
              <w:t>纵向关联：</w:t>
            </w:r>
          </w:p>
          <w:p w14:paraId="1BBDE829">
            <w:pPr>
              <w:pStyle w:val="2"/>
              <w:widowControl/>
              <w:adjustRightInd w:val="0"/>
              <w:snapToGrid w:val="0"/>
              <w:spacing w:after="0"/>
              <w:rPr>
                <w:rFonts w:hint="eastAsia"/>
                <w:b w:val="0"/>
                <w:bCs/>
                <w:color w:val="000000"/>
                <w:kern w:val="0"/>
                <w:sz w:val="24"/>
                <w:lang w:val="en-GB"/>
              </w:rPr>
            </w:pPr>
            <w:r>
              <w:rPr>
                <w:rFonts w:hint="eastAsia"/>
                <w:b w:val="0"/>
                <w:bCs/>
                <w:color w:val="000000"/>
                <w:kern w:val="0"/>
                <w:sz w:val="24"/>
                <w:lang w:val="en-GB"/>
              </w:rPr>
              <w:t>上游：2024年全球高密度聚乙烯（HDPE）市场：</w:t>
            </w:r>
          </w:p>
          <w:p w14:paraId="5F580E33">
            <w:pPr>
              <w:pStyle w:val="2"/>
              <w:widowControl/>
              <w:adjustRightInd w:val="0"/>
              <w:snapToGrid w:val="0"/>
              <w:spacing w:after="0"/>
              <w:rPr>
                <w:rFonts w:hint="eastAsia"/>
                <w:b w:val="0"/>
                <w:bCs/>
                <w:color w:val="000000"/>
                <w:kern w:val="0"/>
                <w:sz w:val="24"/>
                <w:lang w:val="en-GB"/>
              </w:rPr>
            </w:pPr>
            <w:r>
              <w:rPr>
                <w:rFonts w:hint="eastAsia"/>
                <w:b w:val="0"/>
                <w:bCs/>
                <w:color w:val="000000"/>
                <w:kern w:val="0"/>
                <w:sz w:val="24"/>
                <w:lang w:val="en-GB"/>
              </w:rPr>
              <w:t>广州轻工集团：0-5%</w:t>
            </w:r>
          </w:p>
          <w:p w14:paraId="210503A1">
            <w:pPr>
              <w:pStyle w:val="2"/>
              <w:widowControl/>
              <w:adjustRightInd w:val="0"/>
              <w:snapToGrid w:val="0"/>
              <w:spacing w:after="0"/>
              <w:rPr>
                <w:rFonts w:hint="eastAsia"/>
                <w:b w:val="0"/>
                <w:bCs/>
                <w:color w:val="000000"/>
                <w:kern w:val="0"/>
                <w:sz w:val="24"/>
                <w:lang w:val="en-GB"/>
              </w:rPr>
            </w:pPr>
            <w:r>
              <w:rPr>
                <w:rFonts w:hint="eastAsia"/>
                <w:b w:val="0"/>
                <w:bCs/>
                <w:color w:val="000000"/>
                <w:kern w:val="0"/>
                <w:sz w:val="24"/>
                <w:lang w:val="en-GB"/>
              </w:rPr>
              <w:t>2024年中国境内高密度聚乙烯（HDPE）市场：</w:t>
            </w:r>
          </w:p>
          <w:p w14:paraId="57DA91D5">
            <w:pPr>
              <w:pStyle w:val="2"/>
              <w:widowControl/>
              <w:adjustRightInd w:val="0"/>
              <w:snapToGrid w:val="0"/>
              <w:spacing w:after="0"/>
              <w:rPr>
                <w:rFonts w:hint="eastAsia"/>
                <w:b w:val="0"/>
                <w:bCs/>
                <w:color w:val="000000"/>
                <w:kern w:val="0"/>
                <w:sz w:val="24"/>
                <w:lang w:val="en-GB"/>
              </w:rPr>
            </w:pPr>
            <w:r>
              <w:rPr>
                <w:rFonts w:hint="eastAsia"/>
                <w:b w:val="0"/>
                <w:bCs/>
                <w:color w:val="000000"/>
                <w:kern w:val="0"/>
                <w:sz w:val="24"/>
                <w:lang w:val="en-GB"/>
              </w:rPr>
              <w:t>广州轻工集团：0-5%</w:t>
            </w:r>
          </w:p>
          <w:p w14:paraId="2D4B5661">
            <w:pPr>
              <w:pStyle w:val="2"/>
              <w:widowControl/>
              <w:adjustRightInd w:val="0"/>
              <w:snapToGrid w:val="0"/>
              <w:spacing w:after="0"/>
              <w:rPr>
                <w:rFonts w:hint="eastAsia"/>
                <w:b w:val="0"/>
                <w:bCs/>
                <w:color w:val="000000"/>
                <w:kern w:val="0"/>
                <w:sz w:val="24"/>
                <w:lang w:val="en-GB"/>
              </w:rPr>
            </w:pPr>
            <w:r>
              <w:rPr>
                <w:rFonts w:hint="eastAsia"/>
                <w:b w:val="0"/>
                <w:bCs/>
                <w:color w:val="000000"/>
                <w:kern w:val="0"/>
                <w:sz w:val="24"/>
                <w:lang w:val="en-GB"/>
              </w:rPr>
              <w:t>下游1：2024年中国境内给水PE管市场：</w:t>
            </w:r>
          </w:p>
          <w:p w14:paraId="2B370F33">
            <w:pPr>
              <w:pStyle w:val="2"/>
              <w:widowControl/>
              <w:adjustRightInd w:val="0"/>
              <w:snapToGrid w:val="0"/>
              <w:spacing w:after="0"/>
              <w:rPr>
                <w:rFonts w:hint="eastAsia"/>
                <w:b w:val="0"/>
                <w:bCs/>
                <w:color w:val="000000"/>
                <w:kern w:val="0"/>
                <w:sz w:val="24"/>
                <w:lang w:val="en-GB"/>
              </w:rPr>
            </w:pPr>
            <w:r>
              <w:rPr>
                <w:rFonts w:hint="eastAsia"/>
                <w:b w:val="0"/>
                <w:bCs/>
                <w:color w:val="000000"/>
                <w:kern w:val="0"/>
                <w:sz w:val="24"/>
                <w:lang w:val="en-GB"/>
              </w:rPr>
              <w:t>沧州明珠：0-5%</w:t>
            </w:r>
          </w:p>
          <w:p w14:paraId="687E6EFF">
            <w:pPr>
              <w:pStyle w:val="2"/>
              <w:widowControl/>
              <w:adjustRightInd w:val="0"/>
              <w:snapToGrid w:val="0"/>
              <w:spacing w:after="0"/>
              <w:rPr>
                <w:rFonts w:hint="eastAsia"/>
                <w:b w:val="0"/>
                <w:bCs/>
                <w:color w:val="000000"/>
                <w:kern w:val="0"/>
                <w:sz w:val="24"/>
                <w:lang w:val="en-GB"/>
              </w:rPr>
            </w:pPr>
            <w:r>
              <w:rPr>
                <w:rFonts w:hint="eastAsia"/>
                <w:b w:val="0"/>
                <w:bCs/>
                <w:color w:val="000000"/>
                <w:kern w:val="0"/>
                <w:sz w:val="24"/>
                <w:lang w:val="en-GB"/>
              </w:rPr>
              <w:t>下游2：2024年中国境内燃气PE管市场：</w:t>
            </w:r>
          </w:p>
          <w:p w14:paraId="2E3E21B3">
            <w:pPr>
              <w:pStyle w:val="2"/>
              <w:widowControl/>
              <w:adjustRightInd w:val="0"/>
              <w:snapToGrid w:val="0"/>
              <w:spacing w:after="0"/>
              <w:rPr>
                <w:rFonts w:hint="eastAsia"/>
                <w:b w:val="0"/>
                <w:bCs/>
                <w:color w:val="000000"/>
                <w:kern w:val="0"/>
                <w:sz w:val="24"/>
                <w:lang w:val="en-GB"/>
              </w:rPr>
            </w:pPr>
            <w:r>
              <w:rPr>
                <w:rFonts w:hint="eastAsia"/>
                <w:b w:val="0"/>
                <w:bCs/>
                <w:color w:val="000000"/>
                <w:kern w:val="0"/>
                <w:sz w:val="24"/>
                <w:lang w:val="en-GB"/>
              </w:rPr>
              <w:t>沧州明珠：15-20%</w:t>
            </w:r>
          </w:p>
          <w:p w14:paraId="440E37AA">
            <w:pPr>
              <w:pStyle w:val="2"/>
              <w:widowControl/>
              <w:adjustRightInd w:val="0"/>
              <w:snapToGrid w:val="0"/>
              <w:spacing w:after="0"/>
              <w:rPr>
                <w:rFonts w:hint="eastAsia"/>
                <w:b w:val="0"/>
                <w:bCs/>
                <w:color w:val="000000"/>
                <w:kern w:val="0"/>
                <w:sz w:val="24"/>
                <w:lang w:val="en-GB"/>
              </w:rPr>
            </w:pPr>
          </w:p>
          <w:p w14:paraId="754B563B">
            <w:pPr>
              <w:pStyle w:val="2"/>
              <w:widowControl/>
              <w:adjustRightInd w:val="0"/>
              <w:snapToGrid w:val="0"/>
              <w:spacing w:after="0"/>
              <w:rPr>
                <w:rFonts w:hint="eastAsia"/>
                <w:b/>
                <w:color w:val="000000"/>
                <w:kern w:val="0"/>
                <w:sz w:val="24"/>
                <w:lang w:val="en-GB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  <w:lang w:val="en-GB"/>
              </w:rPr>
              <w:t>混合集中：</w:t>
            </w:r>
          </w:p>
          <w:p w14:paraId="3FF26970">
            <w:pPr>
              <w:pStyle w:val="2"/>
              <w:widowControl/>
              <w:adjustRightInd w:val="0"/>
              <w:snapToGrid w:val="0"/>
              <w:spacing w:after="0"/>
              <w:rPr>
                <w:rFonts w:hint="eastAsia"/>
                <w:b w:val="0"/>
                <w:bCs/>
                <w:color w:val="000000"/>
                <w:kern w:val="0"/>
                <w:sz w:val="24"/>
                <w:lang w:val="en-GB"/>
              </w:rPr>
            </w:pPr>
            <w:r>
              <w:rPr>
                <w:rFonts w:hint="eastAsia"/>
                <w:b w:val="0"/>
                <w:bCs/>
                <w:color w:val="000000"/>
                <w:kern w:val="0"/>
                <w:sz w:val="24"/>
                <w:lang w:val="en-GB"/>
              </w:rPr>
              <w:t>2024年中国境内BOPA薄膜市场：</w:t>
            </w:r>
          </w:p>
          <w:p w14:paraId="0E464975">
            <w:pPr>
              <w:pStyle w:val="2"/>
              <w:widowControl/>
              <w:adjustRightInd w:val="0"/>
              <w:snapToGrid w:val="0"/>
              <w:spacing w:after="0"/>
              <w:rPr>
                <w:rFonts w:hint="eastAsia"/>
                <w:bCs/>
                <w:color w:val="000000"/>
                <w:kern w:val="0"/>
                <w:sz w:val="24"/>
              </w:rPr>
            </w:pPr>
            <w:r>
              <w:rPr>
                <w:rFonts w:hint="eastAsia"/>
                <w:b w:val="0"/>
                <w:bCs/>
                <w:color w:val="000000"/>
                <w:kern w:val="0"/>
                <w:sz w:val="24"/>
                <w:lang w:val="en-GB"/>
              </w:rPr>
              <w:t>沧州明珠：15-20%</w:t>
            </w:r>
          </w:p>
        </w:tc>
      </w:tr>
    </w:tbl>
    <w:p w14:paraId="5DFD17CC">
      <w:pPr>
        <w:adjustRightInd w:val="0"/>
        <w:snapToGrid w:val="0"/>
        <w:rPr>
          <w:rFonts w:eastAsiaTheme="minorEastAsia"/>
        </w:rPr>
      </w:pPr>
    </w:p>
    <w:p w14:paraId="0F21721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F02C90"/>
    <w:rsid w:val="3DF02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省市场监督管理局</Company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2025-12-26T01:47:00Z</dcterms:created>
  <dc:creator>郑玉丽</dc:creator>
  <cp:lastModifiedBy>郑玉丽</cp:lastModifiedBy>
  <dcterms:modified xsi:type="dcterms:W3CDTF">2025-12-26T01:47:21Z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32783404927E46D091808CA0A6E3671A_11</vt:lpwstr>
  </property>
  <property fmtid="{D5CDD505-2E9C-101B-9397-08002B2CF9AE}" pid="4" name="KSOTemplateDocerSaveRecord">
    <vt:lpwstr>eyJoZGlkIjoiODNjM2VkZWUwYjdkZDYzZGY2NmZiZGNiZGIyMjFjYWIiLCJ1c2VySWQiOiIxMjE0ODEzMDc5In0=</vt:lpwstr>
  </property>
</Properties>
</file>