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A66EB">
      <w:pPr>
        <w:widowControl/>
        <w:spacing w:after="240"/>
        <w:jc w:val="center"/>
        <w:rPr>
          <w:rFonts w:hint="eastAsia" w:ascii="方正小标宋简体" w:hAnsi="方正小标宋简体" w:eastAsia="方正小标宋简体" w:cs="方正小标宋简体"/>
          <w:kern w:val="0"/>
          <w:sz w:val="44"/>
          <w:szCs w:val="44"/>
          <w:lang w:val="en-GB" w:bidi="ar"/>
        </w:rPr>
      </w:pPr>
    </w:p>
    <w:p w14:paraId="75EC8EA7">
      <w:pPr>
        <w:widowControl/>
        <w:spacing w:after="240"/>
        <w:jc w:val="center"/>
        <w:rPr>
          <w:rFonts w:hint="eastAsia" w:ascii="方正小标宋简体" w:hAnsi="方正小标宋简体" w:eastAsia="方正小标宋简体" w:cs="方正小标宋简体"/>
          <w:kern w:val="0"/>
          <w:sz w:val="44"/>
          <w:szCs w:val="44"/>
          <w:lang w:val="en-GB" w:bidi="ar"/>
        </w:rPr>
      </w:pPr>
      <w:bookmarkStart w:id="0" w:name="_GoBack"/>
      <w:bookmarkEnd w:id="0"/>
      <w:r>
        <w:rPr>
          <w:rFonts w:hint="eastAsia" w:ascii="方正小标宋简体" w:hAnsi="方正小标宋简体" w:eastAsia="方正小标宋简体" w:cs="方正小标宋简体"/>
          <w:kern w:val="0"/>
          <w:sz w:val="44"/>
          <w:szCs w:val="44"/>
          <w:lang w:val="en-GB" w:bidi="ar"/>
        </w:rPr>
        <w:t>经营者集中简易案件公示表</w:t>
      </w:r>
    </w:p>
    <w:tbl>
      <w:tblPr>
        <w:tblStyle w:val="12"/>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476"/>
        <w:gridCol w:w="6224"/>
      </w:tblGrid>
      <w:tr w14:paraId="0CFC3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940" w:type="dxa"/>
            <w:shd w:val="clear" w:color="auto" w:fill="D9D9D9"/>
            <w:vAlign w:val="center"/>
          </w:tcPr>
          <w:p w14:paraId="57E864CA">
            <w:pPr>
              <w:pStyle w:val="7"/>
              <w:widowControl/>
              <w:adjustRightInd w:val="0"/>
              <w:snapToGrid w:val="0"/>
              <w:spacing w:after="0"/>
              <w:jc w:val="center"/>
              <w:rPr>
                <w:bCs/>
                <w:color w:val="000000"/>
                <w:sz w:val="24"/>
              </w:rPr>
            </w:pPr>
            <w:r>
              <w:rPr>
                <w:bCs/>
                <w:color w:val="000000"/>
                <w:sz w:val="24"/>
              </w:rPr>
              <w:t>案件名称</w:t>
            </w:r>
          </w:p>
        </w:tc>
        <w:tc>
          <w:tcPr>
            <w:tcW w:w="7700" w:type="dxa"/>
            <w:gridSpan w:val="2"/>
            <w:vAlign w:val="center"/>
          </w:tcPr>
          <w:p w14:paraId="2C8ED07B">
            <w:pPr>
              <w:widowControl/>
              <w:adjustRightInd w:val="0"/>
              <w:snapToGrid w:val="0"/>
              <w:rPr>
                <w:bCs/>
                <w:color w:val="000000"/>
                <w:sz w:val="24"/>
              </w:rPr>
            </w:pPr>
            <w:r>
              <w:rPr>
                <w:rFonts w:hint="eastAsia"/>
                <w:sz w:val="24"/>
              </w:rPr>
              <w:t>广州工业投资控股集团有限公司收购宁波旭升集团股份有限公司股权案</w:t>
            </w:r>
          </w:p>
        </w:tc>
      </w:tr>
      <w:tr w14:paraId="1DA28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1940" w:type="dxa"/>
            <w:shd w:val="clear" w:color="auto" w:fill="D9D9D9"/>
            <w:vAlign w:val="center"/>
          </w:tcPr>
          <w:p w14:paraId="22088249">
            <w:pPr>
              <w:pStyle w:val="7"/>
              <w:widowControl/>
              <w:adjustRightInd w:val="0"/>
              <w:snapToGrid w:val="0"/>
              <w:spacing w:after="0"/>
              <w:jc w:val="center"/>
              <w:rPr>
                <w:bCs/>
                <w:color w:val="000000"/>
                <w:sz w:val="24"/>
              </w:rPr>
            </w:pPr>
            <w:r>
              <w:rPr>
                <w:bCs/>
                <w:color w:val="000000"/>
                <w:sz w:val="24"/>
              </w:rPr>
              <w:t>交易概况（限200字内）</w:t>
            </w:r>
          </w:p>
        </w:tc>
        <w:tc>
          <w:tcPr>
            <w:tcW w:w="7700" w:type="dxa"/>
            <w:gridSpan w:val="2"/>
            <w:vAlign w:val="center"/>
          </w:tcPr>
          <w:p w14:paraId="249AFE5B">
            <w:pPr>
              <w:widowControl/>
              <w:adjustRightInd w:val="0"/>
              <w:snapToGrid w:val="0"/>
              <w:rPr>
                <w:sz w:val="24"/>
              </w:rPr>
            </w:pPr>
            <w:r>
              <w:rPr>
                <w:rFonts w:hint="eastAsia"/>
                <w:sz w:val="24"/>
              </w:rPr>
              <w:t>广州工业投资控股集团有限公司（“工控集团”）及其关联方与徐旭东及其关联方签署协议，工控集团收购宁波旭升集团股份有限公司（“旭升集团”）共计27.0455%的股份。旭升集团主要从事汽车的铝合金精密零部件的研发、生产、销售等业务。交易前，徐旭东及其关联方持有旭升集团48.6616%的股份，单独控制旭升集团。交易后，工控集团将持有旭升集团27.0455%的股份，并依据相关协议单独控制旭升集团。</w:t>
            </w:r>
          </w:p>
        </w:tc>
      </w:tr>
      <w:tr w14:paraId="776B0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restart"/>
            <w:shd w:val="clear" w:color="auto" w:fill="D9D9D9"/>
            <w:vAlign w:val="center"/>
          </w:tcPr>
          <w:p w14:paraId="49B40CB6">
            <w:pPr>
              <w:pStyle w:val="7"/>
              <w:widowControl/>
              <w:adjustRightInd w:val="0"/>
              <w:snapToGrid w:val="0"/>
              <w:spacing w:after="0"/>
              <w:jc w:val="center"/>
              <w:rPr>
                <w:bCs/>
                <w:color w:val="000000"/>
                <w:sz w:val="24"/>
              </w:rPr>
            </w:pPr>
            <w:r>
              <w:rPr>
                <w:bCs/>
                <w:color w:val="000000"/>
                <w:sz w:val="24"/>
              </w:rPr>
              <w:t>参与集中的经营者简介（每个限100字内）</w:t>
            </w:r>
          </w:p>
        </w:tc>
        <w:tc>
          <w:tcPr>
            <w:tcW w:w="1476" w:type="dxa"/>
            <w:vAlign w:val="center"/>
          </w:tcPr>
          <w:p w14:paraId="113C64A4">
            <w:pPr>
              <w:pStyle w:val="7"/>
              <w:widowControl/>
              <w:adjustRightInd w:val="0"/>
              <w:snapToGrid w:val="0"/>
              <w:spacing w:after="0"/>
              <w:rPr>
                <w:rFonts w:hint="eastAsia" w:eastAsia="宋体"/>
                <w:bCs/>
                <w:color w:val="000000"/>
                <w:sz w:val="24"/>
                <w:lang w:eastAsia="zh-CN"/>
              </w:rPr>
            </w:pPr>
            <w:r>
              <w:rPr>
                <w:bCs/>
                <w:color w:val="000000"/>
                <w:sz w:val="24"/>
              </w:rPr>
              <w:t>1.</w:t>
            </w:r>
            <w:r>
              <w:rPr>
                <w:rFonts w:hint="eastAsia"/>
                <w:bCs/>
                <w:color w:val="000000"/>
                <w:sz w:val="24"/>
                <w:lang w:eastAsia="zh-CN"/>
              </w:rPr>
              <w:t>工控集团</w:t>
            </w:r>
          </w:p>
        </w:tc>
        <w:tc>
          <w:tcPr>
            <w:tcW w:w="6224" w:type="dxa"/>
            <w:vAlign w:val="center"/>
          </w:tcPr>
          <w:p w14:paraId="2FE262CD">
            <w:pPr>
              <w:pStyle w:val="7"/>
              <w:widowControl/>
              <w:adjustRightInd w:val="0"/>
              <w:snapToGrid w:val="0"/>
              <w:spacing w:after="0"/>
              <w:rPr>
                <w:rFonts w:hint="eastAsia"/>
                <w:sz w:val="24"/>
              </w:rPr>
            </w:pPr>
            <w:r>
              <w:rPr>
                <w:rFonts w:hint="eastAsia"/>
                <w:sz w:val="24"/>
              </w:rPr>
              <w:t>工控集团于1978年5月26日成立于广东省广州市，主要业务为先进制造业，从事生产销售铝合金、建筑工程用机械、起重机、薄膜设备、航空发动机、电梯、自动扶梯等业务。</w:t>
            </w:r>
          </w:p>
          <w:p w14:paraId="20743F4F">
            <w:pPr>
              <w:pStyle w:val="7"/>
              <w:widowControl/>
              <w:adjustRightInd w:val="0"/>
              <w:snapToGrid w:val="0"/>
              <w:spacing w:after="0"/>
              <w:rPr>
                <w:bCs/>
                <w:color w:val="000000"/>
                <w:sz w:val="24"/>
              </w:rPr>
            </w:pPr>
            <w:r>
              <w:rPr>
                <w:rFonts w:hint="eastAsia"/>
                <w:sz w:val="24"/>
              </w:rPr>
              <w:t>工控集团为广州市人民政府下属企业。</w:t>
            </w:r>
          </w:p>
        </w:tc>
      </w:tr>
      <w:tr w14:paraId="64DA2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6ABF3685">
            <w:pPr>
              <w:pStyle w:val="7"/>
              <w:widowControl/>
              <w:adjustRightInd w:val="0"/>
              <w:snapToGrid w:val="0"/>
              <w:spacing w:after="0"/>
              <w:jc w:val="center"/>
              <w:rPr>
                <w:bCs/>
                <w:color w:val="000000"/>
                <w:sz w:val="24"/>
              </w:rPr>
            </w:pPr>
          </w:p>
        </w:tc>
        <w:tc>
          <w:tcPr>
            <w:tcW w:w="1476" w:type="dxa"/>
            <w:vAlign w:val="center"/>
          </w:tcPr>
          <w:p w14:paraId="46F5C8D5">
            <w:pPr>
              <w:pStyle w:val="7"/>
              <w:widowControl/>
              <w:adjustRightInd w:val="0"/>
              <w:snapToGrid w:val="0"/>
              <w:spacing w:after="0"/>
              <w:rPr>
                <w:rFonts w:hint="eastAsia" w:eastAsia="宋体"/>
                <w:bCs/>
                <w:color w:val="000000"/>
                <w:sz w:val="24"/>
                <w:lang w:eastAsia="zh-CN"/>
              </w:rPr>
            </w:pPr>
            <w:r>
              <w:rPr>
                <w:bCs/>
                <w:color w:val="000000"/>
                <w:sz w:val="24"/>
              </w:rPr>
              <w:t>2.</w:t>
            </w:r>
            <w:r>
              <w:rPr>
                <w:rFonts w:hint="eastAsia"/>
                <w:bCs/>
                <w:color w:val="000000"/>
                <w:sz w:val="24"/>
                <w:lang w:eastAsia="zh-CN"/>
              </w:rPr>
              <w:t>旭升集团</w:t>
            </w:r>
          </w:p>
        </w:tc>
        <w:tc>
          <w:tcPr>
            <w:tcW w:w="6224" w:type="dxa"/>
            <w:vAlign w:val="center"/>
          </w:tcPr>
          <w:p w14:paraId="7C2B736E">
            <w:pPr>
              <w:pStyle w:val="7"/>
              <w:widowControl/>
              <w:adjustRightInd w:val="0"/>
              <w:snapToGrid w:val="0"/>
              <w:spacing w:after="0"/>
              <w:rPr>
                <w:rFonts w:hint="eastAsia"/>
                <w:sz w:val="24"/>
              </w:rPr>
            </w:pPr>
            <w:r>
              <w:rPr>
                <w:rFonts w:hint="eastAsia"/>
                <w:sz w:val="24"/>
              </w:rPr>
              <w:t>旭升集团于2003年8月25日成立于浙江省宁波市，为上海证券交易所上市公司，主要业务为汽车的铝合金精密零部件的研发、生产、销售等。</w:t>
            </w:r>
          </w:p>
          <w:p w14:paraId="6B25D971">
            <w:pPr>
              <w:pStyle w:val="7"/>
              <w:widowControl/>
              <w:adjustRightInd w:val="0"/>
              <w:snapToGrid w:val="0"/>
              <w:spacing w:after="0"/>
              <w:rPr>
                <w:sz w:val="24"/>
              </w:rPr>
            </w:pPr>
            <w:r>
              <w:rPr>
                <w:rFonts w:hint="eastAsia"/>
                <w:sz w:val="24"/>
              </w:rPr>
              <w:t>旭升集团最终控制人为自然人，主要通过旭升集团从事汽车的铝合金精密零部件相关业务。</w:t>
            </w:r>
          </w:p>
        </w:tc>
      </w:tr>
      <w:tr w14:paraId="00A58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40" w:type="dxa"/>
            <w:vMerge w:val="restart"/>
            <w:shd w:val="clear" w:color="auto" w:fill="D9D9D9"/>
            <w:vAlign w:val="center"/>
          </w:tcPr>
          <w:p w14:paraId="0F5B190E">
            <w:pPr>
              <w:pStyle w:val="7"/>
              <w:widowControl/>
              <w:adjustRightInd w:val="0"/>
              <w:snapToGrid w:val="0"/>
              <w:spacing w:after="0"/>
              <w:jc w:val="center"/>
              <w:rPr>
                <w:bCs/>
                <w:color w:val="000000"/>
                <w:sz w:val="24"/>
              </w:rPr>
            </w:pPr>
            <w:r>
              <w:rPr>
                <w:bCs/>
                <w:color w:val="000000"/>
                <w:sz w:val="24"/>
              </w:rPr>
              <w:t>简易案件理由（可以单选，也可以多选）</w:t>
            </w:r>
          </w:p>
        </w:tc>
        <w:tc>
          <w:tcPr>
            <w:tcW w:w="7700" w:type="dxa"/>
            <w:gridSpan w:val="2"/>
            <w:vAlign w:val="center"/>
          </w:tcPr>
          <w:p w14:paraId="48BB850C">
            <w:pPr>
              <w:pStyle w:val="7"/>
              <w:widowControl/>
              <w:adjustRightInd w:val="0"/>
              <w:snapToGrid w:val="0"/>
              <w:spacing w:after="0"/>
              <w:rPr>
                <w:bCs/>
                <w:color w:val="000000"/>
                <w:sz w:val="24"/>
              </w:rPr>
            </w:pPr>
            <w:r>
              <w:rPr>
                <w:bCs/>
                <w:color w:val="000000"/>
                <w:sz w:val="24"/>
              </w:rPr>
              <w:sym w:font="Wingdings" w:char="00A8"/>
            </w:r>
            <w:r>
              <w:rPr>
                <w:bCs/>
                <w:color w:val="000000"/>
                <w:sz w:val="24"/>
              </w:rPr>
              <w:t xml:space="preserve"> 1、在同一相关市场，所有参与集中的经营者所占市场份额之和小于15%。</w:t>
            </w:r>
          </w:p>
        </w:tc>
      </w:tr>
      <w:tr w14:paraId="1F13B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40" w:type="dxa"/>
            <w:vMerge w:val="continue"/>
            <w:shd w:val="clear" w:color="auto" w:fill="D9D9D9"/>
            <w:vAlign w:val="center"/>
          </w:tcPr>
          <w:p w14:paraId="29258DDA">
            <w:pPr>
              <w:pStyle w:val="7"/>
              <w:widowControl/>
              <w:adjustRightInd w:val="0"/>
              <w:snapToGrid w:val="0"/>
              <w:spacing w:after="0"/>
              <w:jc w:val="center"/>
              <w:rPr>
                <w:bCs/>
                <w:color w:val="000000"/>
                <w:sz w:val="24"/>
              </w:rPr>
            </w:pPr>
          </w:p>
        </w:tc>
        <w:tc>
          <w:tcPr>
            <w:tcW w:w="7700" w:type="dxa"/>
            <w:gridSpan w:val="2"/>
            <w:vAlign w:val="center"/>
          </w:tcPr>
          <w:p w14:paraId="31A5222B">
            <w:pPr>
              <w:pStyle w:val="7"/>
              <w:widowControl/>
              <w:adjustRightInd w:val="0"/>
              <w:snapToGrid w:val="0"/>
              <w:spacing w:after="0"/>
              <w:rPr>
                <w:bCs/>
                <w:color w:val="000000"/>
                <w:sz w:val="24"/>
              </w:rPr>
            </w:pPr>
            <w:r>
              <w:rPr>
                <w:bCs/>
                <w:color w:val="000000"/>
                <w:sz w:val="24"/>
              </w:rPr>
              <w:sym w:font="Wingdings" w:char="00FE"/>
            </w:r>
            <w:r>
              <w:rPr>
                <w:bCs/>
                <w:color w:val="000000"/>
                <w:sz w:val="24"/>
              </w:rPr>
              <w:t xml:space="preserve"> 2、存在上下游关系的参与集中的经营者，在上下游市场所占的市场份额均小于25%。</w:t>
            </w:r>
          </w:p>
        </w:tc>
      </w:tr>
      <w:tr w14:paraId="4ABD3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40" w:type="dxa"/>
            <w:vMerge w:val="continue"/>
            <w:shd w:val="clear" w:color="auto" w:fill="D9D9D9"/>
            <w:vAlign w:val="center"/>
          </w:tcPr>
          <w:p w14:paraId="26E4ABAB">
            <w:pPr>
              <w:pStyle w:val="7"/>
              <w:widowControl/>
              <w:adjustRightInd w:val="0"/>
              <w:snapToGrid w:val="0"/>
              <w:spacing w:after="0"/>
              <w:jc w:val="center"/>
              <w:rPr>
                <w:bCs/>
                <w:color w:val="000000"/>
                <w:sz w:val="24"/>
              </w:rPr>
            </w:pPr>
          </w:p>
        </w:tc>
        <w:tc>
          <w:tcPr>
            <w:tcW w:w="7700" w:type="dxa"/>
            <w:gridSpan w:val="2"/>
            <w:vAlign w:val="center"/>
          </w:tcPr>
          <w:p w14:paraId="0649E8C0">
            <w:pPr>
              <w:pStyle w:val="7"/>
              <w:widowControl/>
              <w:adjustRightInd w:val="0"/>
              <w:snapToGrid w:val="0"/>
              <w:spacing w:after="0"/>
              <w:rPr>
                <w:bCs/>
                <w:color w:val="000000"/>
                <w:sz w:val="24"/>
              </w:rPr>
            </w:pPr>
            <w:r>
              <w:rPr>
                <w:bCs/>
                <w:color w:val="000000"/>
                <w:sz w:val="24"/>
              </w:rPr>
              <w:sym w:font="Wingdings" w:char="00A8"/>
            </w:r>
            <w:r>
              <w:rPr>
                <w:bCs/>
                <w:color w:val="000000"/>
                <w:sz w:val="24"/>
              </w:rPr>
              <w:t xml:space="preserve"> 3、不在同一相关市场、也不存在上下游关系的参与集中的经营者，在与交易有关的每个市场所占的份额均小于25%。</w:t>
            </w:r>
          </w:p>
        </w:tc>
      </w:tr>
      <w:tr w14:paraId="3D7BD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940" w:type="dxa"/>
            <w:vMerge w:val="continue"/>
            <w:shd w:val="clear" w:color="auto" w:fill="D9D9D9"/>
            <w:vAlign w:val="center"/>
          </w:tcPr>
          <w:p w14:paraId="35614DD5">
            <w:pPr>
              <w:pStyle w:val="7"/>
              <w:widowControl/>
              <w:adjustRightInd w:val="0"/>
              <w:snapToGrid w:val="0"/>
              <w:spacing w:after="0"/>
              <w:jc w:val="center"/>
              <w:rPr>
                <w:bCs/>
                <w:color w:val="000000"/>
                <w:sz w:val="24"/>
              </w:rPr>
            </w:pPr>
          </w:p>
        </w:tc>
        <w:tc>
          <w:tcPr>
            <w:tcW w:w="7700" w:type="dxa"/>
            <w:gridSpan w:val="2"/>
            <w:vAlign w:val="center"/>
          </w:tcPr>
          <w:p w14:paraId="7C8FA6E4">
            <w:pPr>
              <w:pStyle w:val="7"/>
              <w:widowControl/>
              <w:adjustRightInd w:val="0"/>
              <w:snapToGrid w:val="0"/>
              <w:spacing w:after="0"/>
              <w:rPr>
                <w:bCs/>
                <w:color w:val="000000"/>
                <w:sz w:val="24"/>
              </w:rPr>
            </w:pPr>
            <w:r>
              <w:rPr>
                <w:bCs/>
                <w:color w:val="000000"/>
                <w:sz w:val="24"/>
              </w:rPr>
              <w:sym w:font="Wingdings" w:char="00A8"/>
            </w:r>
            <w:r>
              <w:rPr>
                <w:bCs/>
                <w:color w:val="000000"/>
                <w:sz w:val="24"/>
              </w:rPr>
              <w:t xml:space="preserve"> 4、参与集中的经营者在中国境外设立合营企业，合营企业不在中国境内从事经济活动。</w:t>
            </w:r>
          </w:p>
        </w:tc>
      </w:tr>
      <w:tr w14:paraId="5A579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40" w:type="dxa"/>
            <w:vMerge w:val="continue"/>
            <w:shd w:val="clear" w:color="auto" w:fill="D9D9D9"/>
            <w:vAlign w:val="center"/>
          </w:tcPr>
          <w:p w14:paraId="0D86D3EB">
            <w:pPr>
              <w:pStyle w:val="7"/>
              <w:widowControl/>
              <w:adjustRightInd w:val="0"/>
              <w:snapToGrid w:val="0"/>
              <w:spacing w:after="0"/>
              <w:jc w:val="center"/>
              <w:rPr>
                <w:bCs/>
                <w:color w:val="000000"/>
                <w:sz w:val="24"/>
              </w:rPr>
            </w:pPr>
          </w:p>
        </w:tc>
        <w:tc>
          <w:tcPr>
            <w:tcW w:w="7700" w:type="dxa"/>
            <w:gridSpan w:val="2"/>
            <w:vAlign w:val="center"/>
          </w:tcPr>
          <w:p w14:paraId="77A93FED">
            <w:pPr>
              <w:pStyle w:val="7"/>
              <w:widowControl/>
              <w:adjustRightInd w:val="0"/>
              <w:snapToGrid w:val="0"/>
              <w:spacing w:after="0"/>
              <w:rPr>
                <w:bCs/>
                <w:color w:val="000000"/>
                <w:sz w:val="24"/>
              </w:rPr>
            </w:pPr>
            <w:r>
              <w:rPr>
                <w:bCs/>
                <w:color w:val="000000"/>
                <w:sz w:val="24"/>
              </w:rPr>
              <w:sym w:font="Wingdings" w:char="00A8"/>
            </w:r>
            <w:r>
              <w:rPr>
                <w:bCs/>
                <w:color w:val="000000"/>
                <w:sz w:val="24"/>
              </w:rPr>
              <w:t xml:space="preserve"> 5、参与集中的经营者收购境外企业股权或资产的，该境外企业不在中国境内从事经济活动。</w:t>
            </w:r>
          </w:p>
        </w:tc>
      </w:tr>
      <w:tr w14:paraId="28E3F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0" w:type="dxa"/>
            <w:vMerge w:val="continue"/>
            <w:shd w:val="clear" w:color="auto" w:fill="D9D9D9"/>
            <w:vAlign w:val="center"/>
          </w:tcPr>
          <w:p w14:paraId="6421B655">
            <w:pPr>
              <w:pStyle w:val="7"/>
              <w:widowControl/>
              <w:adjustRightInd w:val="0"/>
              <w:snapToGrid w:val="0"/>
              <w:spacing w:after="0"/>
              <w:jc w:val="center"/>
              <w:rPr>
                <w:bCs/>
                <w:color w:val="000000"/>
                <w:sz w:val="24"/>
              </w:rPr>
            </w:pPr>
          </w:p>
        </w:tc>
        <w:tc>
          <w:tcPr>
            <w:tcW w:w="7700" w:type="dxa"/>
            <w:gridSpan w:val="2"/>
            <w:vAlign w:val="center"/>
          </w:tcPr>
          <w:p w14:paraId="7E677C01">
            <w:pPr>
              <w:pStyle w:val="7"/>
              <w:widowControl/>
              <w:adjustRightInd w:val="0"/>
              <w:snapToGrid w:val="0"/>
              <w:spacing w:after="0"/>
              <w:rPr>
                <w:bCs/>
                <w:color w:val="000000"/>
                <w:sz w:val="24"/>
              </w:rPr>
            </w:pPr>
            <w:r>
              <w:rPr>
                <w:bCs/>
                <w:color w:val="000000"/>
                <w:sz w:val="24"/>
              </w:rPr>
              <w:sym w:font="Wingdings" w:char="00A8"/>
            </w:r>
            <w:r>
              <w:rPr>
                <w:bCs/>
                <w:color w:val="000000"/>
                <w:sz w:val="24"/>
              </w:rPr>
              <w:t xml:space="preserve"> 6、由两个以上的经营者共同控制的合营企业，通过集中被其中一个或一个以上经营者控制。</w:t>
            </w:r>
          </w:p>
        </w:tc>
      </w:tr>
      <w:tr w14:paraId="1780C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940" w:type="dxa"/>
            <w:shd w:val="clear" w:color="auto" w:fill="D9D9D9"/>
            <w:vAlign w:val="center"/>
          </w:tcPr>
          <w:p w14:paraId="17751B20">
            <w:pPr>
              <w:pStyle w:val="7"/>
              <w:widowControl/>
              <w:adjustRightInd w:val="0"/>
              <w:snapToGrid w:val="0"/>
              <w:spacing w:after="0"/>
              <w:jc w:val="center"/>
              <w:rPr>
                <w:bCs/>
                <w:color w:val="000000"/>
                <w:sz w:val="24"/>
              </w:rPr>
            </w:pPr>
            <w:r>
              <w:rPr>
                <w:bCs/>
                <w:color w:val="000000"/>
                <w:sz w:val="24"/>
              </w:rPr>
              <w:t>备注</w:t>
            </w:r>
          </w:p>
        </w:tc>
        <w:tc>
          <w:tcPr>
            <w:tcW w:w="7700" w:type="dxa"/>
            <w:gridSpan w:val="2"/>
            <w:vAlign w:val="center"/>
          </w:tcPr>
          <w:p w14:paraId="772C96CF">
            <w:pPr>
              <w:pStyle w:val="7"/>
              <w:widowControl/>
              <w:adjustRightInd w:val="0"/>
              <w:snapToGrid w:val="0"/>
              <w:spacing w:after="0"/>
              <w:rPr>
                <w:rFonts w:hint="eastAsia"/>
                <w:b/>
                <w:color w:val="000000"/>
                <w:kern w:val="0"/>
                <w:sz w:val="24"/>
                <w:lang w:val="en-GB"/>
              </w:rPr>
            </w:pPr>
            <w:r>
              <w:rPr>
                <w:rFonts w:hint="eastAsia"/>
                <w:b/>
                <w:color w:val="000000"/>
                <w:kern w:val="0"/>
                <w:sz w:val="24"/>
                <w:lang w:val="en-GB" w:eastAsia="zh-CN"/>
              </w:rPr>
              <w:t>纵向关联</w:t>
            </w:r>
            <w:r>
              <w:rPr>
                <w:rFonts w:hint="eastAsia"/>
                <w:b/>
                <w:color w:val="000000"/>
                <w:kern w:val="0"/>
                <w:sz w:val="24"/>
                <w:lang w:val="en-GB"/>
              </w:rPr>
              <w:t>：</w:t>
            </w:r>
          </w:p>
          <w:tbl>
            <w:tblPr>
              <w:tblStyle w:val="12"/>
              <w:tblW w:w="7450" w:type="dxa"/>
              <w:tblInd w:w="0" w:type="dxa"/>
              <w:tblLayout w:type="fixed"/>
              <w:tblCellMar>
                <w:top w:w="0" w:type="dxa"/>
                <w:left w:w="10" w:type="dxa"/>
                <w:bottom w:w="0" w:type="dxa"/>
                <w:right w:w="10" w:type="dxa"/>
              </w:tblCellMar>
            </w:tblPr>
            <w:tblGrid>
              <w:gridCol w:w="2271"/>
              <w:gridCol w:w="1893"/>
              <w:gridCol w:w="3286"/>
            </w:tblGrid>
            <w:tr w14:paraId="1C0E406E">
              <w:tblPrEx>
                <w:tblCellMar>
                  <w:top w:w="0" w:type="dxa"/>
                  <w:left w:w="10" w:type="dxa"/>
                  <w:bottom w:w="0" w:type="dxa"/>
                  <w:right w:w="10" w:type="dxa"/>
                </w:tblCellMar>
              </w:tblPrEx>
              <w:trPr>
                <w:trHeight w:val="313" w:hRule="atLeast"/>
              </w:trPr>
              <w:tc>
                <w:tcPr>
                  <w:tcW w:w="227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14:paraId="645B5581">
                  <w:pPr>
                    <w:pStyle w:val="7"/>
                    <w:adjustRightInd w:val="0"/>
                    <w:snapToGrid w:val="0"/>
                    <w:spacing w:after="0"/>
                    <w:jc w:val="center"/>
                    <w:rPr>
                      <w:b/>
                      <w:bCs/>
                      <w:sz w:val="24"/>
                      <w:lang w:bidi="ar"/>
                    </w:rPr>
                  </w:pPr>
                  <w:r>
                    <w:rPr>
                      <w:b/>
                      <w:bCs/>
                      <w:sz w:val="24"/>
                      <w:lang w:bidi="ar"/>
                    </w:rPr>
                    <w:t>相关商品市场</w:t>
                  </w:r>
                </w:p>
              </w:tc>
              <w:tc>
                <w:tcPr>
                  <w:tcW w:w="1893" w:type="dxa"/>
                  <w:tcBorders>
                    <w:top w:val="single" w:color="000000" w:sz="4" w:space="0"/>
                    <w:left w:val="single" w:color="auto" w:sz="4" w:space="0"/>
                    <w:bottom w:val="single" w:color="auto" w:sz="4" w:space="0"/>
                    <w:right w:val="single" w:color="000000" w:sz="4" w:space="0"/>
                  </w:tcBorders>
                  <w:tcMar>
                    <w:top w:w="0" w:type="dxa"/>
                    <w:left w:w="108" w:type="dxa"/>
                    <w:bottom w:w="0" w:type="dxa"/>
                    <w:right w:w="108" w:type="dxa"/>
                  </w:tcMar>
                </w:tcPr>
                <w:p w14:paraId="42D30F7C">
                  <w:pPr>
                    <w:pStyle w:val="7"/>
                    <w:adjustRightInd w:val="0"/>
                    <w:snapToGrid w:val="0"/>
                    <w:spacing w:after="0"/>
                    <w:jc w:val="center"/>
                    <w:rPr>
                      <w:b/>
                      <w:bCs/>
                      <w:sz w:val="24"/>
                      <w:lang w:bidi="ar"/>
                    </w:rPr>
                  </w:pPr>
                  <w:r>
                    <w:rPr>
                      <w:b/>
                      <w:bCs/>
                      <w:sz w:val="24"/>
                      <w:lang w:bidi="ar"/>
                    </w:rPr>
                    <w:t>相关地域市场</w:t>
                  </w:r>
                </w:p>
              </w:tc>
              <w:tc>
                <w:tcPr>
                  <w:tcW w:w="3286"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tcPr>
                <w:p w14:paraId="20E99FBD">
                  <w:pPr>
                    <w:pStyle w:val="7"/>
                    <w:adjustRightInd w:val="0"/>
                    <w:snapToGrid w:val="0"/>
                    <w:spacing w:after="0"/>
                    <w:jc w:val="center"/>
                    <w:rPr>
                      <w:b/>
                      <w:bCs/>
                      <w:sz w:val="24"/>
                      <w:lang w:bidi="ar"/>
                    </w:rPr>
                  </w:pPr>
                  <w:r>
                    <w:rPr>
                      <w:b/>
                      <w:bCs/>
                      <w:sz w:val="24"/>
                      <w:lang w:bidi="ar"/>
                    </w:rPr>
                    <w:t>202</w:t>
                  </w:r>
                  <w:r>
                    <w:rPr>
                      <w:rFonts w:hint="eastAsia"/>
                      <w:b/>
                      <w:bCs/>
                      <w:sz w:val="24"/>
                      <w:lang w:bidi="ar"/>
                    </w:rPr>
                    <w:t>4</w:t>
                  </w:r>
                  <w:r>
                    <w:rPr>
                      <w:b/>
                      <w:bCs/>
                      <w:sz w:val="24"/>
                      <w:lang w:bidi="ar"/>
                    </w:rPr>
                    <w:t>年市场份额</w:t>
                  </w:r>
                </w:p>
              </w:tc>
            </w:tr>
            <w:tr w14:paraId="4B80E0CC">
              <w:tblPrEx>
                <w:tblCellMar>
                  <w:top w:w="0" w:type="dxa"/>
                  <w:left w:w="10" w:type="dxa"/>
                  <w:bottom w:w="0" w:type="dxa"/>
                  <w:right w:w="10" w:type="dxa"/>
                </w:tblCellMar>
              </w:tblPrEx>
              <w:tc>
                <w:tcPr>
                  <w:tcW w:w="227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14:paraId="244C1D24">
                  <w:pPr>
                    <w:pStyle w:val="7"/>
                    <w:widowControl/>
                    <w:adjustRightInd w:val="0"/>
                    <w:snapToGrid w:val="0"/>
                    <w:spacing w:after="0"/>
                    <w:jc w:val="both"/>
                    <w:rPr>
                      <w:rFonts w:hint="eastAsia" w:eastAsia="宋体"/>
                      <w:b w:val="0"/>
                      <w:bCs/>
                      <w:color w:val="000000"/>
                      <w:kern w:val="0"/>
                      <w:sz w:val="24"/>
                      <w:lang w:val="en-GB"/>
                    </w:rPr>
                  </w:pPr>
                  <w:r>
                    <w:rPr>
                      <w:rFonts w:hint="eastAsia" w:eastAsia="宋体"/>
                      <w:b w:val="0"/>
                      <w:bCs/>
                      <w:color w:val="000000"/>
                      <w:kern w:val="0"/>
                      <w:sz w:val="24"/>
                      <w:lang w:val="en-GB"/>
                    </w:rPr>
                    <w:t>上游：铝合金市场</w:t>
                  </w:r>
                </w:p>
                <w:p w14:paraId="3BF6FD3C">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下游：汽车用铝合金压铸件市场</w:t>
                  </w:r>
                </w:p>
              </w:tc>
              <w:tc>
                <w:tcPr>
                  <w:tcW w:w="1893" w:type="dxa"/>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tcPr>
                <w:p w14:paraId="034D2359">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 xml:space="preserve">上游：中国境内 </w:t>
                  </w:r>
                </w:p>
                <w:p w14:paraId="012412EF">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下游：中国境内</w:t>
                  </w:r>
                </w:p>
              </w:tc>
              <w:tc>
                <w:tcPr>
                  <w:tcW w:w="3286" w:type="dxa"/>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tcPr>
                <w:p w14:paraId="10380CD8">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上游：中国境内铝合金市场</w:t>
                  </w:r>
                </w:p>
                <w:p w14:paraId="1D76E904">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工控集团：0-5%</w:t>
                  </w:r>
                </w:p>
                <w:p w14:paraId="46D6528D">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下游：中国境内汽车用铝合金压铸件市场</w:t>
                  </w:r>
                </w:p>
                <w:p w14:paraId="319591DB">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旭升集团：0-5%</w:t>
                  </w:r>
                </w:p>
              </w:tc>
            </w:tr>
            <w:tr w14:paraId="689F8129">
              <w:tblPrEx>
                <w:tblCellMar>
                  <w:top w:w="0" w:type="dxa"/>
                  <w:left w:w="10" w:type="dxa"/>
                  <w:bottom w:w="0" w:type="dxa"/>
                  <w:right w:w="10" w:type="dxa"/>
                </w:tblCellMar>
              </w:tblPrEx>
              <w:tc>
                <w:tcPr>
                  <w:tcW w:w="227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14:paraId="22325567">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上游：铝合金市场</w:t>
                  </w:r>
                </w:p>
                <w:p w14:paraId="6CBC20C1">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下游：汽车用铝合金挤压件市场</w:t>
                  </w:r>
                </w:p>
              </w:tc>
              <w:tc>
                <w:tcPr>
                  <w:tcW w:w="1893" w:type="dxa"/>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tcPr>
                <w:p w14:paraId="5025943F">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 xml:space="preserve">上游：中国境内 </w:t>
                  </w:r>
                </w:p>
                <w:p w14:paraId="7095A51A">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下游：中国境内</w:t>
                  </w:r>
                </w:p>
              </w:tc>
              <w:tc>
                <w:tcPr>
                  <w:tcW w:w="3286" w:type="dxa"/>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tcPr>
                <w:p w14:paraId="1634BB67">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上游：中国境内铝合金市场</w:t>
                  </w:r>
                </w:p>
                <w:p w14:paraId="1382E729">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如上所述</w:t>
                  </w:r>
                </w:p>
                <w:p w14:paraId="3BBB2DDF">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下游：中国境内汽车用铝合金挤压件市场</w:t>
                  </w:r>
                </w:p>
                <w:p w14:paraId="4CCD454B">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旭升集团：0-5%</w:t>
                  </w:r>
                </w:p>
              </w:tc>
            </w:tr>
            <w:tr w14:paraId="6A3E67C8">
              <w:tblPrEx>
                <w:tblCellMar>
                  <w:top w:w="0" w:type="dxa"/>
                  <w:left w:w="10" w:type="dxa"/>
                  <w:bottom w:w="0" w:type="dxa"/>
                  <w:right w:w="10" w:type="dxa"/>
                </w:tblCellMar>
              </w:tblPrEx>
              <w:tc>
                <w:tcPr>
                  <w:tcW w:w="227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14:paraId="09CA6BF9">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上游：铝合金市场</w:t>
                  </w:r>
                </w:p>
                <w:p w14:paraId="6656CCB2">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下游：汽车用铝合金锻造件市场</w:t>
                  </w:r>
                </w:p>
              </w:tc>
              <w:tc>
                <w:tcPr>
                  <w:tcW w:w="1893" w:type="dxa"/>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tcPr>
                <w:p w14:paraId="528C3193">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 xml:space="preserve">上游：中国境内 </w:t>
                  </w:r>
                </w:p>
                <w:p w14:paraId="36B01F92">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下游：中国境内</w:t>
                  </w:r>
                </w:p>
              </w:tc>
              <w:tc>
                <w:tcPr>
                  <w:tcW w:w="3286" w:type="dxa"/>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tcPr>
                <w:p w14:paraId="3706AF4C">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上游：中国境内铝合金市场</w:t>
                  </w:r>
                </w:p>
                <w:p w14:paraId="672ADF76">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如上所述</w:t>
                  </w:r>
                </w:p>
                <w:p w14:paraId="6634C0C7">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下游：中国境内汽车用铝合金锻造件市场</w:t>
                  </w:r>
                </w:p>
                <w:p w14:paraId="7F9167E1">
                  <w:pPr>
                    <w:pStyle w:val="7"/>
                    <w:widowControl/>
                    <w:adjustRightInd w:val="0"/>
                    <w:snapToGrid w:val="0"/>
                    <w:spacing w:after="0"/>
                    <w:jc w:val="left"/>
                    <w:rPr>
                      <w:rFonts w:hint="eastAsia" w:eastAsia="宋体"/>
                      <w:b w:val="0"/>
                      <w:bCs/>
                      <w:color w:val="000000"/>
                      <w:kern w:val="0"/>
                      <w:sz w:val="24"/>
                      <w:lang w:val="en-GB"/>
                    </w:rPr>
                  </w:pPr>
                  <w:r>
                    <w:rPr>
                      <w:rFonts w:hint="eastAsia" w:eastAsia="宋体"/>
                      <w:b w:val="0"/>
                      <w:bCs/>
                      <w:color w:val="000000"/>
                      <w:kern w:val="0"/>
                      <w:sz w:val="24"/>
                      <w:lang w:val="en-GB"/>
                    </w:rPr>
                    <w:t>旭升集团：0-5%</w:t>
                  </w:r>
                </w:p>
              </w:tc>
            </w:tr>
          </w:tbl>
          <w:p w14:paraId="38BA9116">
            <w:pPr>
              <w:pStyle w:val="7"/>
              <w:widowControl/>
              <w:adjustRightInd w:val="0"/>
              <w:snapToGrid w:val="0"/>
              <w:spacing w:after="0"/>
              <w:rPr>
                <w:rFonts w:hint="eastAsia"/>
                <w:bCs/>
                <w:color w:val="000000"/>
                <w:kern w:val="0"/>
                <w:sz w:val="24"/>
              </w:rPr>
            </w:pPr>
          </w:p>
        </w:tc>
      </w:tr>
    </w:tbl>
    <w:p w14:paraId="6673C9A0">
      <w:pPr>
        <w:adjustRightInd w:val="0"/>
        <w:snapToGrid w:val="0"/>
        <w:rPr>
          <w:rFonts w:eastAsiaTheme="minor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Simplified Arabic">
    <w:panose1 w:val="02020603050405020304"/>
    <w:charset w:val="B2"/>
    <w:family w:val="roman"/>
    <w:pitch w:val="default"/>
    <w:sig w:usb0="00002003" w:usb1="00000000" w:usb2="00000000" w:usb3="00000000" w:csb0="00000041" w:csb1="2008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9AF76">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017689">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4017689">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1Nzg2Yzk0OTU3YjY2MGZjZDE3YjZmMzRiYmI2NzMifQ=="/>
  </w:docVars>
  <w:rsids>
    <w:rsidRoot w:val="511505E7"/>
    <w:rsid w:val="0002772E"/>
    <w:rsid w:val="00042BDD"/>
    <w:rsid w:val="0007692D"/>
    <w:rsid w:val="00087338"/>
    <w:rsid w:val="00114814"/>
    <w:rsid w:val="00133900"/>
    <w:rsid w:val="001656F1"/>
    <w:rsid w:val="00186F4D"/>
    <w:rsid w:val="001B50F2"/>
    <w:rsid w:val="001C6148"/>
    <w:rsid w:val="001F1C3C"/>
    <w:rsid w:val="0022179C"/>
    <w:rsid w:val="00221FCA"/>
    <w:rsid w:val="00241676"/>
    <w:rsid w:val="00244DF9"/>
    <w:rsid w:val="00284710"/>
    <w:rsid w:val="00303ED8"/>
    <w:rsid w:val="00316BA9"/>
    <w:rsid w:val="00332EAC"/>
    <w:rsid w:val="00346B84"/>
    <w:rsid w:val="00367A54"/>
    <w:rsid w:val="004514D5"/>
    <w:rsid w:val="0047564A"/>
    <w:rsid w:val="00481C5F"/>
    <w:rsid w:val="00490B57"/>
    <w:rsid w:val="004C4C54"/>
    <w:rsid w:val="00500F51"/>
    <w:rsid w:val="00504A56"/>
    <w:rsid w:val="00504BEC"/>
    <w:rsid w:val="00507863"/>
    <w:rsid w:val="00585738"/>
    <w:rsid w:val="00590147"/>
    <w:rsid w:val="005C4EFC"/>
    <w:rsid w:val="00615E7E"/>
    <w:rsid w:val="0062408E"/>
    <w:rsid w:val="00627CE6"/>
    <w:rsid w:val="00646E32"/>
    <w:rsid w:val="00681796"/>
    <w:rsid w:val="006A20C6"/>
    <w:rsid w:val="006B05C1"/>
    <w:rsid w:val="006C3B44"/>
    <w:rsid w:val="006D46D2"/>
    <w:rsid w:val="006E2694"/>
    <w:rsid w:val="00707821"/>
    <w:rsid w:val="0072474D"/>
    <w:rsid w:val="00734F51"/>
    <w:rsid w:val="00772A1A"/>
    <w:rsid w:val="0079077E"/>
    <w:rsid w:val="007D63FA"/>
    <w:rsid w:val="007F706B"/>
    <w:rsid w:val="00816711"/>
    <w:rsid w:val="00826195"/>
    <w:rsid w:val="008472A3"/>
    <w:rsid w:val="00876497"/>
    <w:rsid w:val="008A6D0B"/>
    <w:rsid w:val="008C2439"/>
    <w:rsid w:val="008D54A9"/>
    <w:rsid w:val="009040AD"/>
    <w:rsid w:val="00921E49"/>
    <w:rsid w:val="00925747"/>
    <w:rsid w:val="00934D60"/>
    <w:rsid w:val="00960A84"/>
    <w:rsid w:val="009B27A3"/>
    <w:rsid w:val="00A73286"/>
    <w:rsid w:val="00AB67FA"/>
    <w:rsid w:val="00AF13BF"/>
    <w:rsid w:val="00B45330"/>
    <w:rsid w:val="00B57D9E"/>
    <w:rsid w:val="00B93533"/>
    <w:rsid w:val="00BA0E32"/>
    <w:rsid w:val="00BB0219"/>
    <w:rsid w:val="00BB6F16"/>
    <w:rsid w:val="00BC4863"/>
    <w:rsid w:val="00BC4E22"/>
    <w:rsid w:val="00BD3FB4"/>
    <w:rsid w:val="00BE051D"/>
    <w:rsid w:val="00BE492B"/>
    <w:rsid w:val="00C046B3"/>
    <w:rsid w:val="00C14A25"/>
    <w:rsid w:val="00CE4CBE"/>
    <w:rsid w:val="00D11F6E"/>
    <w:rsid w:val="00D14CED"/>
    <w:rsid w:val="00D36041"/>
    <w:rsid w:val="00E262A7"/>
    <w:rsid w:val="00E40607"/>
    <w:rsid w:val="00E4263C"/>
    <w:rsid w:val="00E466FD"/>
    <w:rsid w:val="00E511F7"/>
    <w:rsid w:val="00E80370"/>
    <w:rsid w:val="00EC650F"/>
    <w:rsid w:val="00F6252F"/>
    <w:rsid w:val="00F63099"/>
    <w:rsid w:val="00F653DE"/>
    <w:rsid w:val="00F7053E"/>
    <w:rsid w:val="00F80A9D"/>
    <w:rsid w:val="00F90810"/>
    <w:rsid w:val="00F971F1"/>
    <w:rsid w:val="00FD5EA5"/>
    <w:rsid w:val="00FF42DD"/>
    <w:rsid w:val="01087875"/>
    <w:rsid w:val="011DF4EB"/>
    <w:rsid w:val="01AB455E"/>
    <w:rsid w:val="01B165CE"/>
    <w:rsid w:val="01DA5C5E"/>
    <w:rsid w:val="020779C8"/>
    <w:rsid w:val="0217304F"/>
    <w:rsid w:val="02515359"/>
    <w:rsid w:val="02E16CA8"/>
    <w:rsid w:val="02F70103"/>
    <w:rsid w:val="030806B1"/>
    <w:rsid w:val="03483348"/>
    <w:rsid w:val="03490091"/>
    <w:rsid w:val="03D70EC9"/>
    <w:rsid w:val="04B425C4"/>
    <w:rsid w:val="04B85AFF"/>
    <w:rsid w:val="05AB50DB"/>
    <w:rsid w:val="06075F29"/>
    <w:rsid w:val="072729B8"/>
    <w:rsid w:val="073562D9"/>
    <w:rsid w:val="07D6476B"/>
    <w:rsid w:val="087232C3"/>
    <w:rsid w:val="08D6542E"/>
    <w:rsid w:val="08ED34FD"/>
    <w:rsid w:val="093446A7"/>
    <w:rsid w:val="09E21081"/>
    <w:rsid w:val="0AF22185"/>
    <w:rsid w:val="0B1835C3"/>
    <w:rsid w:val="0B3A5C6C"/>
    <w:rsid w:val="0B63273E"/>
    <w:rsid w:val="0BD91CE7"/>
    <w:rsid w:val="0C554F7A"/>
    <w:rsid w:val="0C6B60D7"/>
    <w:rsid w:val="0D1F1C05"/>
    <w:rsid w:val="0DE526A7"/>
    <w:rsid w:val="0DFB7F09"/>
    <w:rsid w:val="0E5C7E9D"/>
    <w:rsid w:val="0EEC791B"/>
    <w:rsid w:val="0F272A69"/>
    <w:rsid w:val="0F2B249C"/>
    <w:rsid w:val="0FA436B7"/>
    <w:rsid w:val="0FBBC6D8"/>
    <w:rsid w:val="0FCA58AB"/>
    <w:rsid w:val="10286214"/>
    <w:rsid w:val="10BE10ED"/>
    <w:rsid w:val="10C02711"/>
    <w:rsid w:val="11823EC9"/>
    <w:rsid w:val="11D03D09"/>
    <w:rsid w:val="11FC1ECD"/>
    <w:rsid w:val="12ED74AA"/>
    <w:rsid w:val="130B6D76"/>
    <w:rsid w:val="131E7C21"/>
    <w:rsid w:val="13236AF1"/>
    <w:rsid w:val="13D6674E"/>
    <w:rsid w:val="1437543F"/>
    <w:rsid w:val="147D797B"/>
    <w:rsid w:val="148B0637"/>
    <w:rsid w:val="150C1E94"/>
    <w:rsid w:val="15D94F21"/>
    <w:rsid w:val="15E47716"/>
    <w:rsid w:val="164E6A70"/>
    <w:rsid w:val="1680064E"/>
    <w:rsid w:val="170576D4"/>
    <w:rsid w:val="17436509"/>
    <w:rsid w:val="182A3BC2"/>
    <w:rsid w:val="19533EE7"/>
    <w:rsid w:val="199476C8"/>
    <w:rsid w:val="1A933EF5"/>
    <w:rsid w:val="1A9B628C"/>
    <w:rsid w:val="1AA11230"/>
    <w:rsid w:val="1AEB0D31"/>
    <w:rsid w:val="1AFD6EC1"/>
    <w:rsid w:val="1B2D6269"/>
    <w:rsid w:val="1B785580"/>
    <w:rsid w:val="1BEF65FF"/>
    <w:rsid w:val="1BF9394B"/>
    <w:rsid w:val="1BF9AB71"/>
    <w:rsid w:val="1C1B3B19"/>
    <w:rsid w:val="1C361957"/>
    <w:rsid w:val="1CC31397"/>
    <w:rsid w:val="1D8B4DA1"/>
    <w:rsid w:val="1DA24124"/>
    <w:rsid w:val="1DFE30C6"/>
    <w:rsid w:val="1E9F7E38"/>
    <w:rsid w:val="1EF71A09"/>
    <w:rsid w:val="1EFED7F2"/>
    <w:rsid w:val="1F2073B8"/>
    <w:rsid w:val="1FC81833"/>
    <w:rsid w:val="1FDFF0AB"/>
    <w:rsid w:val="1FE72BC6"/>
    <w:rsid w:val="20320ECE"/>
    <w:rsid w:val="20341A99"/>
    <w:rsid w:val="20815B54"/>
    <w:rsid w:val="20C2797E"/>
    <w:rsid w:val="20F82768"/>
    <w:rsid w:val="21472A39"/>
    <w:rsid w:val="215B059A"/>
    <w:rsid w:val="21BD7D11"/>
    <w:rsid w:val="21FFC12F"/>
    <w:rsid w:val="22151D28"/>
    <w:rsid w:val="244D0366"/>
    <w:rsid w:val="24606B41"/>
    <w:rsid w:val="246456B0"/>
    <w:rsid w:val="246736EB"/>
    <w:rsid w:val="24840815"/>
    <w:rsid w:val="24961512"/>
    <w:rsid w:val="24BE4747"/>
    <w:rsid w:val="25C17900"/>
    <w:rsid w:val="25DD4311"/>
    <w:rsid w:val="261144B9"/>
    <w:rsid w:val="26606A77"/>
    <w:rsid w:val="26627377"/>
    <w:rsid w:val="27B435B3"/>
    <w:rsid w:val="27CC09EF"/>
    <w:rsid w:val="27ED6C10"/>
    <w:rsid w:val="27FF1E56"/>
    <w:rsid w:val="281C288D"/>
    <w:rsid w:val="283265FA"/>
    <w:rsid w:val="28361ADD"/>
    <w:rsid w:val="289A6D28"/>
    <w:rsid w:val="29826D04"/>
    <w:rsid w:val="2A0C211C"/>
    <w:rsid w:val="2A60184B"/>
    <w:rsid w:val="2AA41F53"/>
    <w:rsid w:val="2AF55222"/>
    <w:rsid w:val="2B163BA8"/>
    <w:rsid w:val="2B795B9C"/>
    <w:rsid w:val="2B7F5E09"/>
    <w:rsid w:val="2C0A4D8F"/>
    <w:rsid w:val="2C0C7CCC"/>
    <w:rsid w:val="2CAC25FF"/>
    <w:rsid w:val="2D0217A7"/>
    <w:rsid w:val="2D123945"/>
    <w:rsid w:val="2D522E91"/>
    <w:rsid w:val="2DA7BB6E"/>
    <w:rsid w:val="2DE926AB"/>
    <w:rsid w:val="2DFF8C0F"/>
    <w:rsid w:val="2ECF569F"/>
    <w:rsid w:val="2F0902B7"/>
    <w:rsid w:val="2FD63906"/>
    <w:rsid w:val="2FEDBF98"/>
    <w:rsid w:val="2FF78668"/>
    <w:rsid w:val="301601A6"/>
    <w:rsid w:val="3025112D"/>
    <w:rsid w:val="306F1D95"/>
    <w:rsid w:val="31687D65"/>
    <w:rsid w:val="319E78FD"/>
    <w:rsid w:val="33291F9F"/>
    <w:rsid w:val="332B297E"/>
    <w:rsid w:val="339B1A7D"/>
    <w:rsid w:val="33DF2E4E"/>
    <w:rsid w:val="33E34AE7"/>
    <w:rsid w:val="341C1B03"/>
    <w:rsid w:val="34390907"/>
    <w:rsid w:val="34527864"/>
    <w:rsid w:val="356065C1"/>
    <w:rsid w:val="35741F7B"/>
    <w:rsid w:val="35927D49"/>
    <w:rsid w:val="35AA4056"/>
    <w:rsid w:val="36647739"/>
    <w:rsid w:val="36722108"/>
    <w:rsid w:val="36A67819"/>
    <w:rsid w:val="37736187"/>
    <w:rsid w:val="37DFC498"/>
    <w:rsid w:val="37EC4B4C"/>
    <w:rsid w:val="38EF19B1"/>
    <w:rsid w:val="395A55A8"/>
    <w:rsid w:val="3A7D25F4"/>
    <w:rsid w:val="3AE3337B"/>
    <w:rsid w:val="3B6C128B"/>
    <w:rsid w:val="3BE153E8"/>
    <w:rsid w:val="3BF42FA2"/>
    <w:rsid w:val="3BFE8C88"/>
    <w:rsid w:val="3C1B3849"/>
    <w:rsid w:val="3C5203FE"/>
    <w:rsid w:val="3C772AD5"/>
    <w:rsid w:val="3C982B28"/>
    <w:rsid w:val="3D015043"/>
    <w:rsid w:val="3D8FE1AF"/>
    <w:rsid w:val="3DBE0E38"/>
    <w:rsid w:val="3DCF2C73"/>
    <w:rsid w:val="3E3B322A"/>
    <w:rsid w:val="3E4AEAFC"/>
    <w:rsid w:val="3E671EB3"/>
    <w:rsid w:val="3E6F2B57"/>
    <w:rsid w:val="3EB7365E"/>
    <w:rsid w:val="3EBE2D3F"/>
    <w:rsid w:val="3EBE7DF6"/>
    <w:rsid w:val="3ED7D01C"/>
    <w:rsid w:val="3EE73D98"/>
    <w:rsid w:val="3EFF0DF0"/>
    <w:rsid w:val="3F642A87"/>
    <w:rsid w:val="3F7F6751"/>
    <w:rsid w:val="3FB6105D"/>
    <w:rsid w:val="3FDF1F7E"/>
    <w:rsid w:val="3FF1EAFD"/>
    <w:rsid w:val="3FFE2424"/>
    <w:rsid w:val="3FFF34CA"/>
    <w:rsid w:val="3FFFF255"/>
    <w:rsid w:val="3FFFF7A9"/>
    <w:rsid w:val="40454BCA"/>
    <w:rsid w:val="40D7777E"/>
    <w:rsid w:val="40E3190E"/>
    <w:rsid w:val="4129118D"/>
    <w:rsid w:val="41D779C0"/>
    <w:rsid w:val="436E421B"/>
    <w:rsid w:val="43D81ACB"/>
    <w:rsid w:val="43E353FE"/>
    <w:rsid w:val="443B7D84"/>
    <w:rsid w:val="44EF696F"/>
    <w:rsid w:val="45A801C9"/>
    <w:rsid w:val="45E92E66"/>
    <w:rsid w:val="463C27E0"/>
    <w:rsid w:val="46845245"/>
    <w:rsid w:val="46F216C3"/>
    <w:rsid w:val="47226FD9"/>
    <w:rsid w:val="47D723DD"/>
    <w:rsid w:val="48247180"/>
    <w:rsid w:val="48567BBA"/>
    <w:rsid w:val="48604985"/>
    <w:rsid w:val="48AB26E4"/>
    <w:rsid w:val="48C332AF"/>
    <w:rsid w:val="48DB4B1D"/>
    <w:rsid w:val="48FE2C64"/>
    <w:rsid w:val="4935600E"/>
    <w:rsid w:val="49857111"/>
    <w:rsid w:val="498A72A0"/>
    <w:rsid w:val="4A280DAA"/>
    <w:rsid w:val="4B44740D"/>
    <w:rsid w:val="4BED5B46"/>
    <w:rsid w:val="4C824703"/>
    <w:rsid w:val="4CC01CF8"/>
    <w:rsid w:val="4CFD75DE"/>
    <w:rsid w:val="4D022B50"/>
    <w:rsid w:val="4D533669"/>
    <w:rsid w:val="4D611881"/>
    <w:rsid w:val="4D7CF346"/>
    <w:rsid w:val="4D8A03D2"/>
    <w:rsid w:val="4DB67BAD"/>
    <w:rsid w:val="4DBF710D"/>
    <w:rsid w:val="4E037B64"/>
    <w:rsid w:val="4E293F24"/>
    <w:rsid w:val="4E585190"/>
    <w:rsid w:val="4E626EA5"/>
    <w:rsid w:val="4F7D0643"/>
    <w:rsid w:val="4FF2DB67"/>
    <w:rsid w:val="505C355C"/>
    <w:rsid w:val="50CB3BDA"/>
    <w:rsid w:val="51036EF4"/>
    <w:rsid w:val="511505E7"/>
    <w:rsid w:val="522432EB"/>
    <w:rsid w:val="5260460E"/>
    <w:rsid w:val="5275657D"/>
    <w:rsid w:val="535B1AD6"/>
    <w:rsid w:val="53701092"/>
    <w:rsid w:val="537FCB57"/>
    <w:rsid w:val="53DE53F7"/>
    <w:rsid w:val="53F37CA4"/>
    <w:rsid w:val="549363D0"/>
    <w:rsid w:val="54A03EDC"/>
    <w:rsid w:val="54D26C3D"/>
    <w:rsid w:val="54DD7AC9"/>
    <w:rsid w:val="553B64CC"/>
    <w:rsid w:val="55413F6A"/>
    <w:rsid w:val="556C3BF9"/>
    <w:rsid w:val="558A3AEC"/>
    <w:rsid w:val="55ABCF35"/>
    <w:rsid w:val="55F5B344"/>
    <w:rsid w:val="55FF4F39"/>
    <w:rsid w:val="563C0C84"/>
    <w:rsid w:val="567C47AD"/>
    <w:rsid w:val="568C7EFA"/>
    <w:rsid w:val="569C2904"/>
    <w:rsid w:val="5721053D"/>
    <w:rsid w:val="57472441"/>
    <w:rsid w:val="57F473E9"/>
    <w:rsid w:val="587873A1"/>
    <w:rsid w:val="59206465"/>
    <w:rsid w:val="59927FEE"/>
    <w:rsid w:val="599B7F54"/>
    <w:rsid w:val="59D80FE8"/>
    <w:rsid w:val="5A320350"/>
    <w:rsid w:val="5A4E1134"/>
    <w:rsid w:val="5A8F5421"/>
    <w:rsid w:val="5AAB1367"/>
    <w:rsid w:val="5AB377AC"/>
    <w:rsid w:val="5AD242B6"/>
    <w:rsid w:val="5ADB7A9F"/>
    <w:rsid w:val="5B9E2C7A"/>
    <w:rsid w:val="5BDF7AA8"/>
    <w:rsid w:val="5BFA4577"/>
    <w:rsid w:val="5BFF15E9"/>
    <w:rsid w:val="5C1B2572"/>
    <w:rsid w:val="5CC770F3"/>
    <w:rsid w:val="5CF709BF"/>
    <w:rsid w:val="5D633CB1"/>
    <w:rsid w:val="5DE93B9C"/>
    <w:rsid w:val="5DFF5221"/>
    <w:rsid w:val="5E606197"/>
    <w:rsid w:val="5E758AD3"/>
    <w:rsid w:val="5E872C42"/>
    <w:rsid w:val="5EB54DAB"/>
    <w:rsid w:val="5EFEE8CE"/>
    <w:rsid w:val="5EFFEB53"/>
    <w:rsid w:val="5F3A59C0"/>
    <w:rsid w:val="5F3C2655"/>
    <w:rsid w:val="5F4C72AD"/>
    <w:rsid w:val="5F5B3889"/>
    <w:rsid w:val="5F7404E1"/>
    <w:rsid w:val="5FB58CB9"/>
    <w:rsid w:val="5FCE1ACE"/>
    <w:rsid w:val="5FD337B9"/>
    <w:rsid w:val="5FDBF934"/>
    <w:rsid w:val="5FDD3B5D"/>
    <w:rsid w:val="5FDD699A"/>
    <w:rsid w:val="5FEF6B7F"/>
    <w:rsid w:val="5FF69754"/>
    <w:rsid w:val="5FFD1057"/>
    <w:rsid w:val="60600E46"/>
    <w:rsid w:val="60B85CFA"/>
    <w:rsid w:val="61A27DB8"/>
    <w:rsid w:val="61AC7C2D"/>
    <w:rsid w:val="61F32521"/>
    <w:rsid w:val="62A95BE3"/>
    <w:rsid w:val="62FE2ACC"/>
    <w:rsid w:val="63CE0698"/>
    <w:rsid w:val="63F6661D"/>
    <w:rsid w:val="642A1C4A"/>
    <w:rsid w:val="64990483"/>
    <w:rsid w:val="64F94FB6"/>
    <w:rsid w:val="64FF0119"/>
    <w:rsid w:val="650C61D5"/>
    <w:rsid w:val="65183212"/>
    <w:rsid w:val="654F569B"/>
    <w:rsid w:val="65752CAF"/>
    <w:rsid w:val="65AC0421"/>
    <w:rsid w:val="65C94540"/>
    <w:rsid w:val="65F4A48C"/>
    <w:rsid w:val="662674F5"/>
    <w:rsid w:val="66EF9058"/>
    <w:rsid w:val="67090219"/>
    <w:rsid w:val="67532E54"/>
    <w:rsid w:val="6754015D"/>
    <w:rsid w:val="676B6497"/>
    <w:rsid w:val="677B0DDC"/>
    <w:rsid w:val="67885F66"/>
    <w:rsid w:val="67D469E8"/>
    <w:rsid w:val="67DB7BB9"/>
    <w:rsid w:val="67FB6F24"/>
    <w:rsid w:val="685D233B"/>
    <w:rsid w:val="68E175B6"/>
    <w:rsid w:val="68ED6FEF"/>
    <w:rsid w:val="69140A20"/>
    <w:rsid w:val="6978328D"/>
    <w:rsid w:val="69C0748D"/>
    <w:rsid w:val="6A0942FC"/>
    <w:rsid w:val="6A7D30C3"/>
    <w:rsid w:val="6ABB6FCD"/>
    <w:rsid w:val="6AD438DD"/>
    <w:rsid w:val="6AED643D"/>
    <w:rsid w:val="6AFF300A"/>
    <w:rsid w:val="6B2D0068"/>
    <w:rsid w:val="6B5CFEDC"/>
    <w:rsid w:val="6B9261CD"/>
    <w:rsid w:val="6B935AA5"/>
    <w:rsid w:val="6B9A71CB"/>
    <w:rsid w:val="6BB3C2CA"/>
    <w:rsid w:val="6BCB1BF4"/>
    <w:rsid w:val="6BCC0CB3"/>
    <w:rsid w:val="6BDED2CF"/>
    <w:rsid w:val="6BEBF20E"/>
    <w:rsid w:val="6C45316D"/>
    <w:rsid w:val="6C5FFDFD"/>
    <w:rsid w:val="6CA65B6F"/>
    <w:rsid w:val="6CBE075E"/>
    <w:rsid w:val="6CBF87B4"/>
    <w:rsid w:val="6D7B05E6"/>
    <w:rsid w:val="6DBE9C49"/>
    <w:rsid w:val="6DC30C82"/>
    <w:rsid w:val="6DDA538F"/>
    <w:rsid w:val="6DDED766"/>
    <w:rsid w:val="6DEFBAE0"/>
    <w:rsid w:val="6E372E5F"/>
    <w:rsid w:val="6E3FE820"/>
    <w:rsid w:val="6E786ABC"/>
    <w:rsid w:val="6E954194"/>
    <w:rsid w:val="6EBE3907"/>
    <w:rsid w:val="6F538C10"/>
    <w:rsid w:val="6F6E1640"/>
    <w:rsid w:val="6FAD6E24"/>
    <w:rsid w:val="6FB7F940"/>
    <w:rsid w:val="6FC1631A"/>
    <w:rsid w:val="6FDF5799"/>
    <w:rsid w:val="6FE85134"/>
    <w:rsid w:val="6FEFA4E2"/>
    <w:rsid w:val="6FF7091D"/>
    <w:rsid w:val="6FFB3825"/>
    <w:rsid w:val="6FFDD266"/>
    <w:rsid w:val="706C5090"/>
    <w:rsid w:val="710A7485"/>
    <w:rsid w:val="71394751"/>
    <w:rsid w:val="71402523"/>
    <w:rsid w:val="72131803"/>
    <w:rsid w:val="723024E6"/>
    <w:rsid w:val="72777687"/>
    <w:rsid w:val="73026B48"/>
    <w:rsid w:val="735D723C"/>
    <w:rsid w:val="737A6056"/>
    <w:rsid w:val="737FE4CC"/>
    <w:rsid w:val="7447B6BF"/>
    <w:rsid w:val="74566BED"/>
    <w:rsid w:val="74771EBA"/>
    <w:rsid w:val="74CE550B"/>
    <w:rsid w:val="74E476E3"/>
    <w:rsid w:val="74FA9F2D"/>
    <w:rsid w:val="751B0A84"/>
    <w:rsid w:val="752B15CB"/>
    <w:rsid w:val="755F49C7"/>
    <w:rsid w:val="756F7C99"/>
    <w:rsid w:val="75A34AC0"/>
    <w:rsid w:val="75BA7893"/>
    <w:rsid w:val="75FD2329"/>
    <w:rsid w:val="75FE8BDD"/>
    <w:rsid w:val="763FAA27"/>
    <w:rsid w:val="765FAA54"/>
    <w:rsid w:val="767FE0B3"/>
    <w:rsid w:val="76AFBFF1"/>
    <w:rsid w:val="76BF73B6"/>
    <w:rsid w:val="76CA40F3"/>
    <w:rsid w:val="76D3A759"/>
    <w:rsid w:val="77496BC0"/>
    <w:rsid w:val="77527FDF"/>
    <w:rsid w:val="775E8BC6"/>
    <w:rsid w:val="775F275F"/>
    <w:rsid w:val="777BD1C3"/>
    <w:rsid w:val="777D1E86"/>
    <w:rsid w:val="777FCD8F"/>
    <w:rsid w:val="77960090"/>
    <w:rsid w:val="77A0AA49"/>
    <w:rsid w:val="77AFF4F6"/>
    <w:rsid w:val="77AFF73C"/>
    <w:rsid w:val="77D96E3F"/>
    <w:rsid w:val="77DFDD5B"/>
    <w:rsid w:val="77E6E8CB"/>
    <w:rsid w:val="77FB42A6"/>
    <w:rsid w:val="77FBAA8E"/>
    <w:rsid w:val="77FF6A8C"/>
    <w:rsid w:val="77FF8866"/>
    <w:rsid w:val="77FFCFC3"/>
    <w:rsid w:val="78410251"/>
    <w:rsid w:val="789D5404"/>
    <w:rsid w:val="78FE68D5"/>
    <w:rsid w:val="793FB7A1"/>
    <w:rsid w:val="79EC0BFB"/>
    <w:rsid w:val="79FA9BCD"/>
    <w:rsid w:val="7A66B182"/>
    <w:rsid w:val="7A9C06E1"/>
    <w:rsid w:val="7AB91678"/>
    <w:rsid w:val="7AF72C92"/>
    <w:rsid w:val="7B534FF9"/>
    <w:rsid w:val="7B7B414A"/>
    <w:rsid w:val="7B8F578C"/>
    <w:rsid w:val="7B9A66EF"/>
    <w:rsid w:val="7BAB6FC2"/>
    <w:rsid w:val="7BD6EBF8"/>
    <w:rsid w:val="7BE411F0"/>
    <w:rsid w:val="7BE78EC0"/>
    <w:rsid w:val="7BFD7C4E"/>
    <w:rsid w:val="7BFDD557"/>
    <w:rsid w:val="7BFF7DB9"/>
    <w:rsid w:val="7BFFD823"/>
    <w:rsid w:val="7BFFE7AB"/>
    <w:rsid w:val="7C235B45"/>
    <w:rsid w:val="7C5D2D50"/>
    <w:rsid w:val="7C7918BC"/>
    <w:rsid w:val="7CBEF0D0"/>
    <w:rsid w:val="7CCB66D7"/>
    <w:rsid w:val="7CFFE32C"/>
    <w:rsid w:val="7D6F58DB"/>
    <w:rsid w:val="7DCE664D"/>
    <w:rsid w:val="7DDC0FE0"/>
    <w:rsid w:val="7DDFC877"/>
    <w:rsid w:val="7E9DA405"/>
    <w:rsid w:val="7EBEB929"/>
    <w:rsid w:val="7ED6B717"/>
    <w:rsid w:val="7EE72273"/>
    <w:rsid w:val="7EEB5729"/>
    <w:rsid w:val="7EF16FA7"/>
    <w:rsid w:val="7EF7CDD2"/>
    <w:rsid w:val="7EFF73B1"/>
    <w:rsid w:val="7F23145A"/>
    <w:rsid w:val="7F3EBECF"/>
    <w:rsid w:val="7F543923"/>
    <w:rsid w:val="7F7BEB9D"/>
    <w:rsid w:val="7F7E0F79"/>
    <w:rsid w:val="7F7F4275"/>
    <w:rsid w:val="7F9E584B"/>
    <w:rsid w:val="7F9F8D24"/>
    <w:rsid w:val="7FB70FD4"/>
    <w:rsid w:val="7FBBDAF9"/>
    <w:rsid w:val="7FBF09DE"/>
    <w:rsid w:val="7FBF2495"/>
    <w:rsid w:val="7FD59461"/>
    <w:rsid w:val="7FDBE98D"/>
    <w:rsid w:val="7FDCAB43"/>
    <w:rsid w:val="7FE15510"/>
    <w:rsid w:val="7FE91E78"/>
    <w:rsid w:val="7FEB3232"/>
    <w:rsid w:val="7FF3DAB9"/>
    <w:rsid w:val="7FF500C7"/>
    <w:rsid w:val="7FFBA8A6"/>
    <w:rsid w:val="7FFDE69B"/>
    <w:rsid w:val="7FFF79FA"/>
    <w:rsid w:val="8A379C7D"/>
    <w:rsid w:val="8AD7B623"/>
    <w:rsid w:val="8D7FD0F6"/>
    <w:rsid w:val="8DF8C568"/>
    <w:rsid w:val="8FFF05EE"/>
    <w:rsid w:val="97C7A0C4"/>
    <w:rsid w:val="9B3165F2"/>
    <w:rsid w:val="9BFF3CF8"/>
    <w:rsid w:val="9CBD0B1A"/>
    <w:rsid w:val="9D7F0CB7"/>
    <w:rsid w:val="9DEFBA4D"/>
    <w:rsid w:val="9EF781DE"/>
    <w:rsid w:val="9F67B1E1"/>
    <w:rsid w:val="A7F9C1DE"/>
    <w:rsid w:val="A9AD231D"/>
    <w:rsid w:val="ADFAC79E"/>
    <w:rsid w:val="AE7E1E17"/>
    <w:rsid w:val="AFC56981"/>
    <w:rsid w:val="B32F9DC2"/>
    <w:rsid w:val="B593FB7D"/>
    <w:rsid w:val="B75FE11F"/>
    <w:rsid w:val="B77B2A12"/>
    <w:rsid w:val="B9B92832"/>
    <w:rsid w:val="BBEF9792"/>
    <w:rsid w:val="BBF7C791"/>
    <w:rsid w:val="BCB7048F"/>
    <w:rsid w:val="BCF89F06"/>
    <w:rsid w:val="BD0F8C47"/>
    <w:rsid w:val="BEAF73DD"/>
    <w:rsid w:val="BEEE2B94"/>
    <w:rsid w:val="BF3E17A4"/>
    <w:rsid w:val="BF4F4689"/>
    <w:rsid w:val="BF8E36EE"/>
    <w:rsid w:val="BFAF0BB7"/>
    <w:rsid w:val="BFDF612A"/>
    <w:rsid w:val="BFDFB85E"/>
    <w:rsid w:val="BFEDABFC"/>
    <w:rsid w:val="BFEF0D5B"/>
    <w:rsid w:val="BFF739EC"/>
    <w:rsid w:val="BFF7D663"/>
    <w:rsid w:val="BFFD7287"/>
    <w:rsid w:val="BFFF84B7"/>
    <w:rsid w:val="C3F5BA26"/>
    <w:rsid w:val="CAFFD068"/>
    <w:rsid w:val="CB7D0B2D"/>
    <w:rsid w:val="CB9C4B68"/>
    <w:rsid w:val="CD7F54D6"/>
    <w:rsid w:val="CDCB4AA8"/>
    <w:rsid w:val="CDDEA08E"/>
    <w:rsid w:val="CEFF7CED"/>
    <w:rsid w:val="CF7F6B7D"/>
    <w:rsid w:val="CFF64343"/>
    <w:rsid w:val="D3F22235"/>
    <w:rsid w:val="D49B5E3D"/>
    <w:rsid w:val="D5B58DC7"/>
    <w:rsid w:val="D5DB8D8A"/>
    <w:rsid w:val="D7BF3E60"/>
    <w:rsid w:val="DB33A89B"/>
    <w:rsid w:val="DDA91EB6"/>
    <w:rsid w:val="DDAF5738"/>
    <w:rsid w:val="DDBE5093"/>
    <w:rsid w:val="DDDE42F9"/>
    <w:rsid w:val="DDEFBA43"/>
    <w:rsid w:val="DDEFC054"/>
    <w:rsid w:val="DE871169"/>
    <w:rsid w:val="DEAFB90F"/>
    <w:rsid w:val="DEFB0BFE"/>
    <w:rsid w:val="DF21B821"/>
    <w:rsid w:val="DFBFBE16"/>
    <w:rsid w:val="DFD76A11"/>
    <w:rsid w:val="DFE797EB"/>
    <w:rsid w:val="DFEFC715"/>
    <w:rsid w:val="DFFF4786"/>
    <w:rsid w:val="E1B76C47"/>
    <w:rsid w:val="E3FE57E7"/>
    <w:rsid w:val="E5BFBEBC"/>
    <w:rsid w:val="E6B7D24D"/>
    <w:rsid w:val="E6F77E68"/>
    <w:rsid w:val="E7BDE424"/>
    <w:rsid w:val="E7FF3C97"/>
    <w:rsid w:val="E7FFE685"/>
    <w:rsid w:val="E8D79DF8"/>
    <w:rsid w:val="E97F9658"/>
    <w:rsid w:val="E9F71F09"/>
    <w:rsid w:val="E9F7D881"/>
    <w:rsid w:val="E9FF86BC"/>
    <w:rsid w:val="EAFD8D58"/>
    <w:rsid w:val="EB6C770B"/>
    <w:rsid w:val="EB7DD7C9"/>
    <w:rsid w:val="EBCD181E"/>
    <w:rsid w:val="EBDB640E"/>
    <w:rsid w:val="EBFF7898"/>
    <w:rsid w:val="ECFF1072"/>
    <w:rsid w:val="ED9DB8D5"/>
    <w:rsid w:val="EDDB1346"/>
    <w:rsid w:val="EDF3771B"/>
    <w:rsid w:val="EDFF0807"/>
    <w:rsid w:val="EEC40EE9"/>
    <w:rsid w:val="EF7F4E2A"/>
    <w:rsid w:val="EF7F9BE8"/>
    <w:rsid w:val="EFC62B3A"/>
    <w:rsid w:val="EFCDBC8D"/>
    <w:rsid w:val="EFFF0144"/>
    <w:rsid w:val="EFFFDD70"/>
    <w:rsid w:val="F1B778F1"/>
    <w:rsid w:val="F3FF743F"/>
    <w:rsid w:val="F4FF55F7"/>
    <w:rsid w:val="F5F7F5CB"/>
    <w:rsid w:val="F5F97876"/>
    <w:rsid w:val="F76CF7E9"/>
    <w:rsid w:val="F7B75D8A"/>
    <w:rsid w:val="F7CFBA4D"/>
    <w:rsid w:val="F7DA6E98"/>
    <w:rsid w:val="F7DDD9EA"/>
    <w:rsid w:val="F7E39E90"/>
    <w:rsid w:val="F7EFF966"/>
    <w:rsid w:val="F7FD911C"/>
    <w:rsid w:val="F8EE49FF"/>
    <w:rsid w:val="F93B5AA6"/>
    <w:rsid w:val="F94C48A0"/>
    <w:rsid w:val="F9DF2CA6"/>
    <w:rsid w:val="F9E8B31E"/>
    <w:rsid w:val="F9EB3C24"/>
    <w:rsid w:val="FB3326CC"/>
    <w:rsid w:val="FB9F5A91"/>
    <w:rsid w:val="FB9FDE2D"/>
    <w:rsid w:val="FBCE4D19"/>
    <w:rsid w:val="FBDBEF41"/>
    <w:rsid w:val="FBFD1159"/>
    <w:rsid w:val="FBFE1D07"/>
    <w:rsid w:val="FBFF5E75"/>
    <w:rsid w:val="FCAB2178"/>
    <w:rsid w:val="FCFFC232"/>
    <w:rsid w:val="FD4FEBD9"/>
    <w:rsid w:val="FD6F06FA"/>
    <w:rsid w:val="FD7DE192"/>
    <w:rsid w:val="FDBF10AA"/>
    <w:rsid w:val="FDBF3869"/>
    <w:rsid w:val="FDBFFDC9"/>
    <w:rsid w:val="FDD466DA"/>
    <w:rsid w:val="FDD6A258"/>
    <w:rsid w:val="FDF6BF77"/>
    <w:rsid w:val="FDFBDE23"/>
    <w:rsid w:val="FDFE7162"/>
    <w:rsid w:val="FDFF8E6F"/>
    <w:rsid w:val="FE4F1E64"/>
    <w:rsid w:val="FE5FA0A2"/>
    <w:rsid w:val="FEAEC70B"/>
    <w:rsid w:val="FEBD1401"/>
    <w:rsid w:val="FEE78FD0"/>
    <w:rsid w:val="FEF339DB"/>
    <w:rsid w:val="FEFB2882"/>
    <w:rsid w:val="FEFD2C3B"/>
    <w:rsid w:val="FF57FBD6"/>
    <w:rsid w:val="FF5F2CB5"/>
    <w:rsid w:val="FF5FC2B3"/>
    <w:rsid w:val="FF7645E0"/>
    <w:rsid w:val="FFB70466"/>
    <w:rsid w:val="FFBC3961"/>
    <w:rsid w:val="FFCF003E"/>
    <w:rsid w:val="FFEE6CF6"/>
    <w:rsid w:val="FFEF9B99"/>
    <w:rsid w:val="FFF7BE83"/>
    <w:rsid w:val="FFFD3239"/>
    <w:rsid w:val="FFFF2AF3"/>
    <w:rsid w:val="FFFF3A53"/>
    <w:rsid w:val="FFFF9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9"/>
    <w:pPr>
      <w:spacing w:after="156" w:afterLines="50" w:line="640" w:lineRule="exact"/>
      <w:outlineLvl w:val="0"/>
    </w:pPr>
    <w:rPr>
      <w:rFonts w:ascii="方正小标宋简体" w:eastAsia="方正小标宋简体"/>
      <w:sz w:val="44"/>
      <w:szCs w:val="36"/>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3">
    <w:name w:val="名称2"/>
    <w:basedOn w:val="4"/>
    <w:qFormat/>
    <w:uiPriority w:val="0"/>
    <w:pPr>
      <w:spacing w:after="312" w:afterLines="100"/>
    </w:pPr>
    <w:rPr>
      <w:b w:val="0"/>
      <w:sz w:val="20"/>
    </w:rPr>
  </w:style>
  <w:style w:type="paragraph" w:customStyle="1" w:styleId="4">
    <w:name w:val="名称"/>
    <w:basedOn w:val="1"/>
    <w:qFormat/>
    <w:uiPriority w:val="0"/>
    <w:pPr>
      <w:jc w:val="center"/>
    </w:pPr>
    <w:rPr>
      <w:b/>
      <w:kern w:val="0"/>
      <w:sz w:val="44"/>
      <w:szCs w:val="20"/>
    </w:rPr>
  </w:style>
  <w:style w:type="paragraph" w:styleId="5">
    <w:name w:val="Normal Indent"/>
    <w:basedOn w:val="1"/>
    <w:next w:val="1"/>
    <w:qFormat/>
    <w:uiPriority w:val="99"/>
  </w:style>
  <w:style w:type="paragraph" w:styleId="6">
    <w:name w:val="annotation text"/>
    <w:basedOn w:val="1"/>
    <w:qFormat/>
    <w:uiPriority w:val="0"/>
    <w:pPr>
      <w:jc w:val="left"/>
    </w:pPr>
  </w:style>
  <w:style w:type="paragraph" w:styleId="7">
    <w:name w:val="Body Text"/>
    <w:basedOn w:val="1"/>
    <w:link w:val="19"/>
    <w:unhideWhenUsed/>
    <w:qFormat/>
    <w:uiPriority w:val="99"/>
    <w:pPr>
      <w:spacing w:after="120"/>
    </w:pPr>
  </w:style>
  <w:style w:type="paragraph" w:styleId="8">
    <w:name w:val="footer"/>
    <w:basedOn w:val="1"/>
    <w:link w:val="18"/>
    <w:qFormat/>
    <w:uiPriority w:val="0"/>
    <w:pPr>
      <w:tabs>
        <w:tab w:val="center" w:pos="4153"/>
        <w:tab w:val="right" w:pos="8306"/>
      </w:tabs>
      <w:snapToGrid w:val="0"/>
      <w:jc w:val="left"/>
    </w:pPr>
    <w:rPr>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toc 2"/>
    <w:basedOn w:val="1"/>
    <w:next w:val="1"/>
    <w:qFormat/>
    <w:uiPriority w:val="0"/>
    <w:pPr>
      <w:ind w:left="420" w:leftChars="200"/>
    </w:pPr>
    <w:rPr>
      <w:sz w:val="30"/>
    </w:rPr>
  </w:style>
  <w:style w:type="paragraph" w:styleId="11">
    <w:name w:val="Body Text First Indent"/>
    <w:basedOn w:val="7"/>
    <w:qFormat/>
    <w:uiPriority w:val="0"/>
    <w:pPr>
      <w:ind w:firstLine="420" w:firstLineChars="100"/>
    </w:pPr>
  </w:style>
  <w:style w:type="table" w:styleId="13">
    <w:name w:val="Table Grid"/>
    <w:basedOn w:val="1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5">
    <w:name w:val="page number"/>
    <w:qFormat/>
    <w:uiPriority w:val="0"/>
    <w:rPr>
      <w:rFonts w:ascii="Times New Roman" w:hAnsi="Times New Roman" w:eastAsia="宋体" w:cs="Simplified Arabic"/>
      <w:sz w:val="24"/>
      <w:szCs w:val="24"/>
      <w:lang w:val="en-GB" w:bidi="ar-AE"/>
    </w:rPr>
  </w:style>
  <w:style w:type="character" w:styleId="16">
    <w:name w:val="annotation reference"/>
    <w:basedOn w:val="14"/>
    <w:qFormat/>
    <w:uiPriority w:val="0"/>
    <w:rPr>
      <w:sz w:val="21"/>
      <w:szCs w:val="21"/>
    </w:rPr>
  </w:style>
  <w:style w:type="character" w:customStyle="1" w:styleId="17">
    <w:name w:val="页眉 字符"/>
    <w:basedOn w:val="14"/>
    <w:link w:val="9"/>
    <w:qFormat/>
    <w:uiPriority w:val="0"/>
    <w:rPr>
      <w:rFonts w:ascii="Times New Roman" w:hAnsi="Times New Roman" w:eastAsia="宋体" w:cs="Times New Roman"/>
      <w:kern w:val="2"/>
      <w:sz w:val="18"/>
      <w:szCs w:val="18"/>
    </w:rPr>
  </w:style>
  <w:style w:type="character" w:customStyle="1" w:styleId="18">
    <w:name w:val="页脚 字符"/>
    <w:basedOn w:val="14"/>
    <w:link w:val="8"/>
    <w:qFormat/>
    <w:uiPriority w:val="0"/>
    <w:rPr>
      <w:rFonts w:ascii="Times New Roman" w:hAnsi="Times New Roman" w:eastAsia="宋体" w:cs="Times New Roman"/>
      <w:kern w:val="2"/>
      <w:sz w:val="18"/>
      <w:szCs w:val="18"/>
    </w:rPr>
  </w:style>
  <w:style w:type="character" w:customStyle="1" w:styleId="19">
    <w:name w:val="正文文本 字符"/>
    <w:basedOn w:val="14"/>
    <w:link w:val="7"/>
    <w:qFormat/>
    <w:uiPriority w:val="99"/>
    <w:rPr>
      <w:rFonts w:ascii="Times New Roman" w:hAnsi="Times New Roman" w:eastAsia="宋体" w:cs="Times New Roman"/>
      <w:kern w:val="2"/>
      <w:sz w:val="21"/>
      <w:szCs w:val="24"/>
    </w:rPr>
  </w:style>
  <w:style w:type="paragraph" w:styleId="20">
    <w:name w:val="List Paragraph"/>
    <w:basedOn w:val="1"/>
    <w:qFormat/>
    <w:uiPriority w:val="99"/>
    <w:pPr>
      <w:ind w:firstLine="420" w:firstLineChars="200"/>
    </w:pPr>
  </w:style>
  <w:style w:type="paragraph" w:customStyle="1" w:styleId="21">
    <w:name w:val="Footer Right"/>
    <w:basedOn w:val="8"/>
    <w:qFormat/>
    <w:uiPriority w:val="0"/>
    <w:pPr>
      <w:jc w:val="right"/>
    </w:pPr>
  </w:style>
  <w:style w:type="paragraph" w:customStyle="1" w:styleId="22">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2</Pages>
  <Words>976</Words>
  <Characters>1032</Characters>
  <Lines>116</Lines>
  <Paragraphs>97</Paragraphs>
  <TotalTime>4</TotalTime>
  <ScaleCrop>false</ScaleCrop>
  <LinksUpToDate>false</LinksUpToDate>
  <CharactersWithSpaces>1041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2025-03-11T01:36:00Z</dcterms:created>
  <dc:creator>张斌（反垄断处）</dc:creator>
  <cp:lastModifiedBy>郑玉丽</cp:lastModifiedBy>
  <cp:lastPrinted>2026-01-15T01:12:00Z</cp:lastPrinted>
  <dcterms:modified xsi:type="dcterms:W3CDTF">2026-02-02T02:45:57Z</dcterms:modified>
  <dc:title>关于经营者集中反垄断审查案件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39C0699803B82A55B6887C69C67A9AFA</vt:lpwstr>
  </property>
  <property fmtid="{D5CDD505-2E9C-101B-9397-08002B2CF9AE}" pid="4" name="KSOTemplateDocerSaveRecord">
    <vt:lpwstr>eyJoZGlkIjoiODNjM2VkZWUwYjdkZDYzZGY2NmZiZGNiZGIyMjFjYWIiLCJ1c2VySWQiOiIxMjE0ODEzMDc5In0=</vt:lpwstr>
  </property>
</Properties>
</file>