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84760">
      <w:pPr>
        <w:spacing w:after="240" w:line="240" w:lineRule="auto"/>
        <w:jc w:val="center"/>
        <w:rPr>
          <w:rFonts w:ascii="黑体" w:hAnsi="黑体" w:eastAsia="黑体" w:cs="黑体"/>
          <w:bCs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sz w:val="36"/>
          <w:szCs w:val="36"/>
          <w:lang w:val="en-GB" w:bidi="ar-AE"/>
        </w:rPr>
        <w:t>经营者集中简易案件公示表</w:t>
      </w:r>
    </w:p>
    <w:tbl>
      <w:tblPr>
        <w:tblStyle w:val="4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 w14:paraId="09BBE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 w14:paraId="1050760D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eastAsia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eastAsia="en-GB" w:bidi="ar-AE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081868EE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万华化学（烟台）电池产业有限公司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与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湖北兴发化工集团股份有限公司新设合营企业案</w:t>
            </w:r>
          </w:p>
        </w:tc>
      </w:tr>
      <w:tr w14:paraId="2025D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vAlign w:val="center"/>
          </w:tcPr>
          <w:p w14:paraId="2FDD7B7C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03520839">
            <w:pPr>
              <w:widowControl w:val="0"/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 w:bidi="ar-AE"/>
              </w:rPr>
              <w:t>万华化学（烟台）电池产业有限公司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（“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ar-AE"/>
              </w:rPr>
              <w:t>万华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GB" w:bidi="ar-AE"/>
              </w:rPr>
              <w:t>电池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”）和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湖北兴发化工集团股份有限公司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GB" w:bidi="ar-AE"/>
              </w:rPr>
              <w:t>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ar-AE"/>
              </w:rPr>
              <w:t>湖北兴发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GB" w:bidi="ar-AE"/>
              </w:rPr>
              <w:t>”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）签署协议，拟在中国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湖北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 w:bidi="ar-AE"/>
              </w:rPr>
              <w:t>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设立合营企业。合营企业将主营磷酸铁的生产和销售业务。交易后，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万华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电池和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湖北兴发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分别持有合营企业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70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%和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30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%的股权，将共同控制合营企业。</w:t>
            </w:r>
          </w:p>
        </w:tc>
      </w:tr>
      <w:tr w14:paraId="60F73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39878584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参与集中的经营者简介（每个限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100字以内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 w14:paraId="08CA2EF7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1.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万华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电池</w:t>
            </w:r>
          </w:p>
        </w:tc>
        <w:tc>
          <w:tcPr>
            <w:tcW w:w="6093" w:type="dxa"/>
            <w:vAlign w:val="center"/>
          </w:tcPr>
          <w:p w14:paraId="3A0B3471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万华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电池于202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年12月1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日成立于中国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烟台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 w:bidi="ar-AE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，主要从事电池正极材料、电池负极材料、电池化学品材料等业务。</w:t>
            </w:r>
          </w:p>
          <w:p w14:paraId="368A41DC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GB" w:eastAsia="zh-Hans" w:bidi="ar-A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万华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电池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 w:bidi="ar-AE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最终控制人为烟台国丰投资控股集团有限公司，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-AE"/>
              </w:rPr>
              <w:t>其主要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业务为国有资产经营管理等。</w:t>
            </w:r>
          </w:p>
        </w:tc>
      </w:tr>
      <w:tr w14:paraId="78C27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39EA1724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 w14:paraId="3C6BA97E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Hans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2.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湖北兴发</w:t>
            </w:r>
          </w:p>
          <w:p w14:paraId="33FE4F2C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</w:p>
        </w:tc>
        <w:tc>
          <w:tcPr>
            <w:tcW w:w="6093" w:type="dxa"/>
            <w:vAlign w:val="center"/>
          </w:tcPr>
          <w:p w14:paraId="22A98B49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湖北兴发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于</w:t>
            </w:r>
            <w:r>
              <w:rPr>
                <w:rFonts w:hint="eastAsia"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994年</w:t>
            </w:r>
            <w:r>
              <w:rPr>
                <w:rFonts w:hint="eastAsia"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7日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成立于中国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湖北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Hans" w:bidi="ar-AE"/>
              </w:rPr>
              <w:t>省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 w:bidi="ar-AE"/>
              </w:rPr>
              <w:t>为</w:t>
            </w:r>
            <w:r>
              <w:rPr>
                <w:rFonts w:ascii="Times New Roman" w:hAnsi="Times New Roman"/>
                <w:sz w:val="24"/>
                <w:szCs w:val="24"/>
              </w:rPr>
              <w:t>上海证券交易所上市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公司</w:t>
            </w:r>
            <w:r>
              <w:rPr>
                <w:rFonts w:ascii="Times New Roman" w:hAnsi="Times New Roman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主要从事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磷化工系列产品和精细化工产品的开发、生产和销售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等业务。</w:t>
            </w:r>
          </w:p>
          <w:p w14:paraId="0AD15F5D">
            <w:pPr>
              <w:adjustRightInd w:val="0"/>
              <w:snapToGrid w:val="0"/>
              <w:spacing w:after="0" w:line="240" w:lineRule="auto"/>
              <w:jc w:val="both"/>
              <w:rPr>
                <w:rFonts w:hint="eastAsia" w:ascii="Times New Roman" w:hAnsi="Times New Roman" w:eastAsia="宋体"/>
                <w:sz w:val="24"/>
                <w:szCs w:val="24"/>
                <w:lang w:val="en-GB" w:eastAsia="zh-Hans"/>
              </w:rPr>
            </w:pPr>
            <w:r>
              <w:rPr>
                <w:rFonts w:hint="eastAsia" w:ascii="Times New Roman" w:hAnsi="Times New Roman" w:eastAsia="宋体" w:cs="Simplified Arabic"/>
                <w:sz w:val="24"/>
                <w:szCs w:val="24"/>
                <w:lang w:val="en-US" w:eastAsia="zh-CN" w:bidi="ar-AE"/>
              </w:rPr>
              <w:t>湖北兴发</w:t>
            </w:r>
            <w:r>
              <w:rPr>
                <w:rFonts w:hint="eastAsia" w:ascii="Times New Roman" w:hAnsi="Times New Roman" w:eastAsia="宋体" w:cs="Simplified Arabic"/>
                <w:sz w:val="24"/>
                <w:szCs w:val="24"/>
                <w:lang w:val="en-US" w:eastAsia="zh-Hans" w:bidi="ar-AE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GB" w:bidi="ar-AE"/>
              </w:rPr>
              <w:t>最终控制人为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宜昌兴发集团有限责任公司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t>其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主要</w:t>
            </w:r>
            <w:bookmarkStart w:id="0" w:name="_GoBack"/>
            <w:bookmarkEnd w:id="0"/>
            <w:r>
              <w:rPr>
                <w:rFonts w:hint="eastAsia" w:ascii="Times New Roman" w:hAnsi="Times New Roman"/>
                <w:kern w:val="0"/>
                <w:sz w:val="24"/>
                <w:szCs w:val="24"/>
                <w:lang w:eastAsia="zh-CN"/>
              </w:rPr>
              <w:t>业务为水电、矿山、化工、旅游。</w:t>
            </w:r>
          </w:p>
        </w:tc>
      </w:tr>
      <w:tr w14:paraId="254CA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41FDB49E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6DF36E6A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 w14:paraId="1341A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22867BBE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DE8CE10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 w14:paraId="443C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B69390E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F7CA99F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14:paraId="0B1AB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07EC207D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17AD00A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26527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02357B5B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C895181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0067F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112F6108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0DD48D0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677C4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40" w:type="dxa"/>
            <w:shd w:val="clear" w:color="auto" w:fill="D9D9D9"/>
            <w:vAlign w:val="center"/>
          </w:tcPr>
          <w:p w14:paraId="729E9855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7DB40588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GB" w:bidi="ar-AE"/>
              </w:rPr>
              <w:t>横向重叠：</w:t>
            </w:r>
          </w:p>
          <w:p w14:paraId="0236CE6D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</w:p>
          <w:tbl>
            <w:tblPr>
              <w:tblStyle w:val="5"/>
              <w:tblW w:w="750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4"/>
              <w:gridCol w:w="1723"/>
              <w:gridCol w:w="3648"/>
            </w:tblGrid>
            <w:tr w14:paraId="7A1E01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34" w:type="dxa"/>
                  <w:shd w:val="clear" w:color="auto" w:fill="D8D8D8" w:themeFill="background1" w:themeFillShade="D9"/>
                </w:tcPr>
                <w:p w14:paraId="313C80E3">
                  <w:pPr>
                    <w:adjustRightInd w:val="0"/>
                    <w:snapToGrid w:val="0"/>
                    <w:spacing w:after="0" w:line="240" w:lineRule="auto"/>
                    <w:jc w:val="both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1723" w:type="dxa"/>
                  <w:shd w:val="clear" w:color="auto" w:fill="D8D8D8" w:themeFill="background1" w:themeFillShade="D9"/>
                </w:tcPr>
                <w:p w14:paraId="5760C961">
                  <w:pPr>
                    <w:adjustRightInd w:val="0"/>
                    <w:snapToGrid w:val="0"/>
                    <w:spacing w:after="0" w:line="240" w:lineRule="auto"/>
                    <w:jc w:val="both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3648" w:type="dxa"/>
                  <w:shd w:val="clear" w:color="auto" w:fill="D8D8D8" w:themeFill="background1" w:themeFillShade="D9"/>
                </w:tcPr>
                <w:p w14:paraId="0AD1CE4F">
                  <w:pPr>
                    <w:adjustRightInd w:val="0"/>
                    <w:snapToGrid w:val="0"/>
                    <w:spacing w:after="0" w:line="240" w:lineRule="auto"/>
                    <w:jc w:val="both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20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24</w:t>
                  </w:r>
                  <w:r>
                    <w:rPr>
                      <w:rFonts w:hint="eastAsia"/>
                      <w:sz w:val="24"/>
                      <w:szCs w:val="24"/>
                    </w:rPr>
                    <w:t>年市场份额</w:t>
                  </w:r>
                </w:p>
              </w:tc>
            </w:tr>
            <w:tr w14:paraId="44B243E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34" w:type="dxa"/>
                  <w:vAlign w:val="center"/>
                </w:tcPr>
                <w:p w14:paraId="793159AE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磷酸铁市场</w:t>
                  </w:r>
                </w:p>
              </w:tc>
              <w:tc>
                <w:tcPr>
                  <w:tcW w:w="1723" w:type="dxa"/>
                  <w:vAlign w:val="center"/>
                </w:tcPr>
                <w:p w14:paraId="282F0024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中国境内</w:t>
                  </w:r>
                </w:p>
              </w:tc>
              <w:tc>
                <w:tcPr>
                  <w:tcW w:w="3648" w:type="dxa"/>
                  <w:vAlign w:val="center"/>
                </w:tcPr>
                <w:p w14:paraId="7632B958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万华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电池：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eastAsia="zh-Hans" w:bidi="ar-AE"/>
                    </w:rPr>
                    <w:t>0-5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  <w:p w14:paraId="5C9BE2BD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湖北兴发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：0-5%</w:t>
                  </w:r>
                </w:p>
                <w:p w14:paraId="332E5EDA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双方合计：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0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</w:tc>
            </w:tr>
            <w:tr w14:paraId="726508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34" w:type="dxa"/>
                  <w:vAlign w:val="center"/>
                </w:tcPr>
                <w:p w14:paraId="119732D3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磷酸铁锂市场</w:t>
                  </w:r>
                </w:p>
              </w:tc>
              <w:tc>
                <w:tcPr>
                  <w:tcW w:w="1723" w:type="dxa"/>
                  <w:vAlign w:val="center"/>
                </w:tcPr>
                <w:p w14:paraId="7892C3D3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eastAsia="zh-Hans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eastAsia="zh-Hans" w:bidi="ar-AE"/>
                    </w:rPr>
                    <w:t>中国境内</w:t>
                  </w:r>
                </w:p>
              </w:tc>
              <w:tc>
                <w:tcPr>
                  <w:tcW w:w="3648" w:type="dxa"/>
                  <w:vAlign w:val="center"/>
                </w:tcPr>
                <w:p w14:paraId="77B789DB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万华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电池：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eastAsia="zh-Hans" w:bidi="ar-AE"/>
                    </w:rPr>
                    <w:t>0-5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  <w:p w14:paraId="351B1CEE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湖北兴发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0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  <w:p w14:paraId="13993D22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双方合计：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0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-</w:t>
                  </w:r>
                  <w:r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bidi="ar-AE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</w:tc>
            </w:tr>
          </w:tbl>
          <w:p w14:paraId="31FDC8FD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</w:p>
          <w:p w14:paraId="5002463C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GB" w:bidi="ar-AE"/>
              </w:rPr>
              <w:t>纵向关联：</w:t>
            </w:r>
          </w:p>
          <w:tbl>
            <w:tblPr>
              <w:tblStyle w:val="5"/>
              <w:tblW w:w="745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61"/>
              <w:gridCol w:w="1958"/>
              <w:gridCol w:w="3636"/>
            </w:tblGrid>
            <w:tr w14:paraId="0002BF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61" w:type="dxa"/>
                  <w:shd w:val="clear" w:color="auto" w:fill="D8D8D8" w:themeFill="background1" w:themeFillShade="D9"/>
                </w:tcPr>
                <w:p w14:paraId="1E8D9096">
                  <w:pPr>
                    <w:adjustRightInd w:val="0"/>
                    <w:snapToGrid w:val="0"/>
                    <w:spacing w:after="0" w:line="240" w:lineRule="auto"/>
                    <w:jc w:val="both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1958" w:type="dxa"/>
                  <w:shd w:val="clear" w:color="auto" w:fill="D8D8D8" w:themeFill="background1" w:themeFillShade="D9"/>
                </w:tcPr>
                <w:p w14:paraId="2FDCDADC">
                  <w:pPr>
                    <w:adjustRightInd w:val="0"/>
                    <w:snapToGrid w:val="0"/>
                    <w:spacing w:after="0" w:line="240" w:lineRule="auto"/>
                    <w:jc w:val="both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3636" w:type="dxa"/>
                  <w:shd w:val="clear" w:color="auto" w:fill="D8D8D8" w:themeFill="background1" w:themeFillShade="D9"/>
                </w:tcPr>
                <w:p w14:paraId="4AEC9E57">
                  <w:pPr>
                    <w:adjustRightInd w:val="0"/>
                    <w:snapToGrid w:val="0"/>
                    <w:spacing w:after="0" w:line="240" w:lineRule="auto"/>
                    <w:jc w:val="both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202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4</w:t>
                  </w:r>
                  <w:r>
                    <w:rPr>
                      <w:rFonts w:hint="eastAsia"/>
                      <w:sz w:val="24"/>
                      <w:szCs w:val="24"/>
                    </w:rPr>
                    <w:t>年市场份额</w:t>
                  </w:r>
                </w:p>
              </w:tc>
            </w:tr>
            <w:tr w14:paraId="7FB5029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61" w:type="dxa"/>
                  <w:vAlign w:val="center"/>
                </w:tcPr>
                <w:p w14:paraId="33C2B4FE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上游：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工业级磷酸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4626AFA1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下游：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磷酸铁市场</w:t>
                  </w:r>
                </w:p>
              </w:tc>
              <w:tc>
                <w:tcPr>
                  <w:tcW w:w="1958" w:type="dxa"/>
                  <w:vAlign w:val="center"/>
                </w:tcPr>
                <w:p w14:paraId="402BCB9F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上游：中国境内</w:t>
                  </w:r>
                </w:p>
                <w:p w14:paraId="3862CCF5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下游：中国境内</w:t>
                  </w:r>
                </w:p>
              </w:tc>
              <w:tc>
                <w:tcPr>
                  <w:tcW w:w="3636" w:type="dxa"/>
                  <w:vAlign w:val="center"/>
                </w:tcPr>
                <w:p w14:paraId="44C92944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上游：中国境内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工业级磷酸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6A40642F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湖北兴发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0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  <w:p w14:paraId="0A4E0B32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下游：中国境内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51CCBB0C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万华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电池：如上所述</w:t>
                  </w:r>
                </w:p>
                <w:p w14:paraId="0643BF5D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湖北兴发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：如上所述</w:t>
                  </w:r>
                </w:p>
                <w:p w14:paraId="1F04E141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合营企业（预估）：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eastAsia="zh-Hans" w:bidi="ar-AE"/>
                    </w:rPr>
                    <w:t>0-5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%</w:t>
                  </w:r>
                </w:p>
              </w:tc>
            </w:tr>
            <w:tr w14:paraId="0B9CA15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61" w:type="dxa"/>
                  <w:vAlign w:val="center"/>
                </w:tcPr>
                <w:p w14:paraId="5F4312FA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上游：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07F72A65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eastAsia="zh-Hans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下游：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磷酸铁锂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eastAsia="zh-Hans" w:bidi="ar-AE"/>
                    </w:rPr>
                    <w:t>市场</w:t>
                  </w:r>
                </w:p>
              </w:tc>
              <w:tc>
                <w:tcPr>
                  <w:tcW w:w="1958" w:type="dxa"/>
                  <w:vAlign w:val="center"/>
                </w:tcPr>
                <w:p w14:paraId="1446EEE5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上游：中国境内</w:t>
                  </w:r>
                </w:p>
                <w:p w14:paraId="4154D637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下游：中国境内</w:t>
                  </w:r>
                </w:p>
              </w:tc>
              <w:tc>
                <w:tcPr>
                  <w:tcW w:w="3636" w:type="dxa"/>
                  <w:vAlign w:val="center"/>
                </w:tcPr>
                <w:p w14:paraId="41F9E30D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上游：中国境内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59B167F7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万华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电池：如上所述</w:t>
                  </w:r>
                </w:p>
                <w:p w14:paraId="37D28E62">
                  <w:pPr>
                    <w:adjustRightInd w:val="0"/>
                    <w:snapToGrid w:val="0"/>
                    <w:spacing w:after="0" w:line="240" w:lineRule="auto"/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湖北兴发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：如上所述</w:t>
                  </w:r>
                </w:p>
                <w:p w14:paraId="50C1D55A">
                  <w:pPr>
                    <w:adjustRightInd w:val="0"/>
                    <w:snapToGrid w:val="0"/>
                    <w:spacing w:after="0" w:line="240" w:lineRule="auto"/>
                    <w:rPr>
                      <w:rFonts w:hint="default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合营企业（预估）：如上所述</w:t>
                  </w:r>
                </w:p>
                <w:p w14:paraId="7EDE413D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下游：中国境内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磷酸铁锂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市场</w:t>
                  </w:r>
                </w:p>
                <w:p w14:paraId="0C7DAD8F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万华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电池：如上所述</w:t>
                  </w:r>
                </w:p>
                <w:p w14:paraId="21029569">
                  <w:pPr>
                    <w:adjustRightInd w:val="0"/>
                    <w:snapToGrid w:val="0"/>
                    <w:spacing w:after="0" w:line="240" w:lineRule="auto"/>
                    <w:rPr>
                      <w:rFonts w:ascii="宋体" w:hAnsi="宋体" w:eastAsia="宋体" w:cs="宋体"/>
                      <w:bCs/>
                      <w:color w:val="000000"/>
                      <w:sz w:val="24"/>
                      <w:szCs w:val="24"/>
                      <w:lang w:eastAsia="zh-Hans" w:bidi="ar-AE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US" w:eastAsia="zh-CN" w:bidi="ar-AE"/>
                    </w:rPr>
                    <w:t>湖北兴发</w:t>
                  </w:r>
                  <w:r>
                    <w:rPr>
                      <w:rFonts w:hint="eastAsia" w:ascii="宋体" w:hAnsi="宋体" w:eastAsia="宋体" w:cs="宋体"/>
                      <w:bCs/>
                      <w:color w:val="000000"/>
                      <w:sz w:val="24"/>
                      <w:szCs w:val="24"/>
                      <w:lang w:val="en-GB" w:bidi="ar-AE"/>
                    </w:rPr>
                    <w:t>：如上所述</w:t>
                  </w:r>
                </w:p>
              </w:tc>
            </w:tr>
          </w:tbl>
          <w:p w14:paraId="10A53642">
            <w:pPr>
              <w:adjustRightInd w:val="0"/>
              <w:snapToGrid w:val="0"/>
              <w:spacing w:after="0" w:line="240" w:lineRule="auto"/>
              <w:jc w:val="both"/>
              <w:rPr>
                <w:rFonts w:ascii="宋体" w:hAnsi="宋体" w:eastAsia="宋体" w:cs="宋体"/>
                <w:bCs/>
                <w:color w:val="000000"/>
                <w:sz w:val="24"/>
                <w:szCs w:val="24"/>
                <w:lang w:val="en-GB" w:bidi="ar-AE"/>
              </w:rPr>
            </w:pPr>
          </w:p>
        </w:tc>
      </w:tr>
    </w:tbl>
    <w:p w14:paraId="4117D1A7">
      <w:pPr>
        <w:adjustRightInd w:val="0"/>
        <w:snapToGrid w:val="0"/>
        <w:spacing w:after="0" w:line="240" w:lineRule="auto"/>
        <w:jc w:val="both"/>
        <w:rPr>
          <w:rFonts w:ascii="Arial" w:hAnsi="Arial" w:eastAsia="楷体_GB2312" w:cs="Arial"/>
          <w:b/>
          <w:color w:val="000000"/>
          <w:lang w:val="en-GB" w:bidi="ar-AE"/>
        </w:rPr>
      </w:pPr>
    </w:p>
    <w:p w14:paraId="7951C9DD">
      <w:pPr>
        <w:spacing w:after="240" w:line="240" w:lineRule="auto"/>
        <w:jc w:val="both"/>
        <w:rPr>
          <w:rFonts w:ascii="宋体" w:hAnsi="宋体" w:eastAsia="宋体" w:cs="宋体"/>
          <w:bCs/>
          <w:color w:val="000000"/>
          <w:sz w:val="28"/>
          <w:szCs w:val="28"/>
          <w:lang w:val="en-GB" w:bidi="ar-AE"/>
        </w:rPr>
      </w:pPr>
    </w:p>
    <w:p w14:paraId="2640ECC9"/>
    <w:sectPr>
      <w:footerReference r:id="rId5" w:type="default"/>
      <w:pgSz w:w="11906" w:h="16838"/>
      <w:pgMar w:top="1440" w:right="1440" w:bottom="1276" w:left="1440" w:header="720" w:footer="3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plified Arabic">
    <w:altName w:val="Times New Roman"/>
    <w:panose1 w:val="02020603050405020304"/>
    <w:charset w:val="B2"/>
    <w:family w:val="roman"/>
    <w:pitch w:val="default"/>
    <w:sig w:usb0="00000000" w:usb1="00000000" w:usb2="00000000" w:usb3="00000000" w:csb0="00000041" w:csb1="200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 w14:paraId="4E28686D"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080" w:type="dxa"/>
        </w:tcPr>
        <w:p w14:paraId="43BA6121">
          <w:pPr>
            <w:pStyle w:val="3"/>
          </w:pPr>
        </w:p>
      </w:tc>
      <w:tc>
        <w:tcPr>
          <w:tcW w:w="3081" w:type="dxa"/>
        </w:tcPr>
        <w:p w14:paraId="41B5769A">
          <w:pPr>
            <w:pStyle w:val="3"/>
            <w:jc w:val="center"/>
            <w:rPr>
              <w:rStyle w:val="7"/>
              <w:rFonts w:cs="Times New Roman"/>
            </w:rPr>
          </w:pPr>
          <w:r>
            <w:rPr>
              <w:rStyle w:val="7"/>
              <w:rFonts w:cs="Times New Roman"/>
            </w:rPr>
            <w:t xml:space="preserve">- </w:t>
          </w:r>
          <w:r>
            <w:rPr>
              <w:rStyle w:val="7"/>
              <w:rFonts w:cs="Times New Roman"/>
            </w:rPr>
            <w:fldChar w:fldCharType="begin"/>
          </w:r>
          <w:r>
            <w:rPr>
              <w:rStyle w:val="7"/>
              <w:rFonts w:cs="Times New Roman"/>
            </w:rPr>
            <w:instrText xml:space="preserve"> PAGE   \* MERGEFORMAT </w:instrText>
          </w:r>
          <w:r>
            <w:rPr>
              <w:rStyle w:val="7"/>
              <w:rFonts w:cs="Times New Roman"/>
            </w:rPr>
            <w:fldChar w:fldCharType="separate"/>
          </w:r>
          <w:r>
            <w:rPr>
              <w:rStyle w:val="7"/>
              <w:rFonts w:cs="Times New Roman"/>
              <w:lang w:val="en-US"/>
            </w:rPr>
            <w:t>2</w:t>
          </w:r>
          <w:r>
            <w:rPr>
              <w:rStyle w:val="7"/>
              <w:rFonts w:cs="Times New Roman"/>
            </w:rPr>
            <w:fldChar w:fldCharType="end"/>
          </w:r>
          <w:r>
            <w:rPr>
              <w:rStyle w:val="7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023D4FF9">
          <w:pPr>
            <w:pStyle w:val="9"/>
          </w:pPr>
        </w:p>
      </w:tc>
    </w:tr>
  </w:tbl>
  <w:p w14:paraId="172AF743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wZDhlOWJjMzNiZmIzOTJmMDNmMDk1ZWE3NjYwYmIifQ=="/>
  </w:docVars>
  <w:rsids>
    <w:rsidRoot w:val="00260AA8"/>
    <w:rsid w:val="00093404"/>
    <w:rsid w:val="000D4057"/>
    <w:rsid w:val="00102A0A"/>
    <w:rsid w:val="001A6E02"/>
    <w:rsid w:val="001D03CF"/>
    <w:rsid w:val="001D7131"/>
    <w:rsid w:val="001F113C"/>
    <w:rsid w:val="001F7116"/>
    <w:rsid w:val="00260AA8"/>
    <w:rsid w:val="002A63BD"/>
    <w:rsid w:val="003679FF"/>
    <w:rsid w:val="00470B3B"/>
    <w:rsid w:val="00583F6E"/>
    <w:rsid w:val="00596B05"/>
    <w:rsid w:val="005D6972"/>
    <w:rsid w:val="005E04F6"/>
    <w:rsid w:val="00630A1F"/>
    <w:rsid w:val="006318AE"/>
    <w:rsid w:val="006F6E4D"/>
    <w:rsid w:val="00701E3E"/>
    <w:rsid w:val="00703BC0"/>
    <w:rsid w:val="00784A90"/>
    <w:rsid w:val="007909B8"/>
    <w:rsid w:val="00793308"/>
    <w:rsid w:val="00795B70"/>
    <w:rsid w:val="007B68BF"/>
    <w:rsid w:val="007D5E61"/>
    <w:rsid w:val="007F57FE"/>
    <w:rsid w:val="008409C6"/>
    <w:rsid w:val="0091155A"/>
    <w:rsid w:val="00991705"/>
    <w:rsid w:val="00A336EC"/>
    <w:rsid w:val="00A45232"/>
    <w:rsid w:val="00AE4FA1"/>
    <w:rsid w:val="00B82A53"/>
    <w:rsid w:val="00BC1FC6"/>
    <w:rsid w:val="00BF6EBD"/>
    <w:rsid w:val="00C03B64"/>
    <w:rsid w:val="00C1232D"/>
    <w:rsid w:val="00C51888"/>
    <w:rsid w:val="00C6438C"/>
    <w:rsid w:val="00C85635"/>
    <w:rsid w:val="00D450D1"/>
    <w:rsid w:val="00D57C26"/>
    <w:rsid w:val="00DD2660"/>
    <w:rsid w:val="00DF7AB5"/>
    <w:rsid w:val="00E17C0C"/>
    <w:rsid w:val="00E65D96"/>
    <w:rsid w:val="00F85EDF"/>
    <w:rsid w:val="00FA1A1A"/>
    <w:rsid w:val="00FC65D5"/>
    <w:rsid w:val="00FD3E36"/>
    <w:rsid w:val="0A4B31DE"/>
    <w:rsid w:val="1F6797F8"/>
    <w:rsid w:val="1FDCD8F2"/>
    <w:rsid w:val="24F77AD0"/>
    <w:rsid w:val="2863031A"/>
    <w:rsid w:val="2DFF9399"/>
    <w:rsid w:val="33FEE29B"/>
    <w:rsid w:val="3C6A08A1"/>
    <w:rsid w:val="3E760DA2"/>
    <w:rsid w:val="40551726"/>
    <w:rsid w:val="413D0D79"/>
    <w:rsid w:val="49825129"/>
    <w:rsid w:val="4DFB6F6F"/>
    <w:rsid w:val="57E8EB5D"/>
    <w:rsid w:val="5A56B790"/>
    <w:rsid w:val="5E1C59A4"/>
    <w:rsid w:val="60717D8D"/>
    <w:rsid w:val="6D071A6C"/>
    <w:rsid w:val="6FDF87C6"/>
    <w:rsid w:val="77B7BDD1"/>
    <w:rsid w:val="78BBB395"/>
    <w:rsid w:val="7A195D6E"/>
    <w:rsid w:val="7B5729F4"/>
    <w:rsid w:val="7CBF486E"/>
    <w:rsid w:val="7E9C52C8"/>
    <w:rsid w:val="7EAFD474"/>
    <w:rsid w:val="7EFF8D19"/>
    <w:rsid w:val="7F7BC666"/>
    <w:rsid w:val="7FC3A66D"/>
    <w:rsid w:val="83FEFFB4"/>
    <w:rsid w:val="8FAB8BF1"/>
    <w:rsid w:val="AA3F3145"/>
    <w:rsid w:val="BBFF89E7"/>
    <w:rsid w:val="BEBC342D"/>
    <w:rsid w:val="BFDAC19B"/>
    <w:rsid w:val="D1FDE433"/>
    <w:rsid w:val="D3FBB522"/>
    <w:rsid w:val="D9DB0420"/>
    <w:rsid w:val="DCFEC847"/>
    <w:rsid w:val="DFF30202"/>
    <w:rsid w:val="F7BE4ED6"/>
    <w:rsid w:val="FAF87562"/>
    <w:rsid w:val="FD77CF77"/>
    <w:rsid w:val="FEDF2EE1"/>
    <w:rsid w:val="FEEEB40C"/>
    <w:rsid w:val="FEFE038E"/>
    <w:rsid w:val="FF3EA310"/>
    <w:rsid w:val="FFDC9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table" w:styleId="5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customStyle="1" w:styleId="8">
    <w:name w:val="Footer Char"/>
    <w:basedOn w:val="6"/>
    <w:link w:val="3"/>
    <w:semiHidden/>
    <w:qFormat/>
    <w:uiPriority w:val="99"/>
  </w:style>
  <w:style w:type="paragraph" w:customStyle="1" w:styleId="9">
    <w:name w:val="Footer Right"/>
    <w:basedOn w:val="3"/>
    <w:qFormat/>
    <w:uiPriority w:val="0"/>
    <w:pPr>
      <w:tabs>
        <w:tab w:val="clear" w:pos="4320"/>
        <w:tab w:val="clear" w:pos="8640"/>
      </w:tabs>
      <w:jc w:val="right"/>
    </w:pPr>
    <w:rPr>
      <w:rFonts w:ascii="Times New Roman" w:hAnsi="Times New Roman" w:eastAsia="宋体" w:cs="Times New Roman"/>
      <w:sz w:val="16"/>
      <w:szCs w:val="16"/>
      <w:lang w:val="en-GB" w:bidi="he-IL"/>
    </w:rPr>
  </w:style>
  <w:style w:type="character" w:customStyle="1" w:styleId="10">
    <w:name w:val="Balloon Text Char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Revision"/>
    <w:hidden/>
    <w:semiHidden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2">
    <w:name w:val="fontstyle01"/>
    <w:basedOn w:val="6"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Hui">
      <a:majorFont>
        <a:latin typeface="Times New Roman"/>
        <a:ea typeface="SimSun"/>
        <a:cs typeface=""/>
      </a:majorFont>
      <a:minorFont>
        <a:latin typeface="Times New Roman"/>
        <a:ea typeface="SimSu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976</Words>
  <Characters>1031</Characters>
  <Lines>9</Lines>
  <Paragraphs>2</Paragraphs>
  <TotalTime>2</TotalTime>
  <ScaleCrop>false</ScaleCrop>
  <LinksUpToDate>false</LinksUpToDate>
  <CharactersWithSpaces>1038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2022-10-28T16:53:00Z</dcterms:created>
  <dc:creator>DaHui Lawyers</dc:creator>
  <cp:lastModifiedBy>DH Law</cp:lastModifiedBy>
  <dcterms:modified xsi:type="dcterms:W3CDTF">2026-01-29T07:16:30Z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261A36512AC9488D88AD413312EAE0E6_13</vt:lpwstr>
  </property>
  <property fmtid="{D5CDD505-2E9C-101B-9397-08002B2CF9AE}" pid="4" name="KSOTemplateDocerSaveRecord">
    <vt:lpwstr>eyJoZGlkIjoiY2QxODk4ODVkOWU3MDUzZmY1NGQ1MGI0YmU3MDBmZmYiLCJ1c2VySWQiOiIzNDAwNTA5NDgifQ==</vt:lpwstr>
  </property>
</Properties>
</file>