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FAF90">
      <w:pPr>
        <w:keepNext w:val="0"/>
        <w:keepLines w:val="0"/>
        <w:widowControl/>
        <w:suppressLineNumbers w:val="0"/>
        <w:spacing w:before="0" w:beforeAutospacing="0" w:after="240" w:afterAutospacing="0"/>
        <w:ind w:left="0" w:right="0"/>
        <w:jc w:val="center"/>
        <w:rPr>
          <w:rFonts w:hint="eastAsia" w:ascii="方正小标宋简体" w:hAnsi="方正小标宋简体" w:eastAsia="方正小标宋简体" w:cs="方正小标宋简体"/>
          <w:kern w:val="0"/>
          <w:sz w:val="44"/>
          <w:szCs w:val="44"/>
          <w:lang w:val="en-GB" w:eastAsia="zh-CN" w:bidi="ar"/>
        </w:rPr>
      </w:pPr>
      <w:r>
        <w:rPr>
          <w:rFonts w:hint="eastAsia" w:ascii="方正小标宋简体" w:hAnsi="方正小标宋简体" w:eastAsia="方正小标宋简体" w:cs="方正小标宋简体"/>
          <w:kern w:val="0"/>
          <w:sz w:val="44"/>
          <w:szCs w:val="44"/>
          <w:lang w:val="en-GB" w:eastAsia="zh-CN" w:bidi="ar"/>
        </w:rPr>
        <w:t>经营者集中简易案件公示表</w:t>
      </w:r>
    </w:p>
    <w:tbl>
      <w:tblPr>
        <w:tblStyle w:val="12"/>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476"/>
        <w:gridCol w:w="6224"/>
      </w:tblGrid>
      <w:tr w14:paraId="61495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940" w:type="dxa"/>
            <w:shd w:val="clear" w:color="auto" w:fill="D9D9D9"/>
            <w:vAlign w:val="center"/>
          </w:tcPr>
          <w:p w14:paraId="581393BE">
            <w:pPr>
              <w:pStyle w:val="7"/>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案件名称</w:t>
            </w:r>
          </w:p>
        </w:tc>
        <w:tc>
          <w:tcPr>
            <w:tcW w:w="7700" w:type="dxa"/>
            <w:gridSpan w:val="2"/>
            <w:vAlign w:val="center"/>
          </w:tcPr>
          <w:p w14:paraId="27767C6F">
            <w:pPr>
              <w:widowControl/>
              <w:adjustRightInd w:val="0"/>
              <w:snapToGrid w:val="0"/>
              <w:rPr>
                <w:rFonts w:hint="default" w:ascii="Times New Roman" w:hAnsi="Times New Roman" w:cs="Times New Roman"/>
                <w:bCs/>
                <w:color w:val="000000"/>
                <w:sz w:val="24"/>
              </w:rPr>
            </w:pPr>
            <w:r>
              <w:rPr>
                <w:rFonts w:hint="default" w:ascii="Times New Roman" w:hAnsi="Times New Roman" w:cs="Times New Roman"/>
                <w:sz w:val="24"/>
              </w:rPr>
              <w:t>山东华泰纸业股份有限公司收购广西华泰华友化工新材料有限公司股权案</w:t>
            </w:r>
          </w:p>
        </w:tc>
      </w:tr>
      <w:tr w14:paraId="4238F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14:paraId="2F0D3262">
            <w:pPr>
              <w:pStyle w:val="7"/>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交易概况（限200字内）</w:t>
            </w:r>
          </w:p>
        </w:tc>
        <w:tc>
          <w:tcPr>
            <w:tcW w:w="7700" w:type="dxa"/>
            <w:gridSpan w:val="2"/>
            <w:vAlign w:val="center"/>
          </w:tcPr>
          <w:p w14:paraId="5FCE7AF2">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山东华泰纸业股份有限公司（“华泰股份”）通过全资子公司东营华泰化工集团有限公司（“华泰化工”）与华友控股集团有限公司（“华友集团”）、广西华泰华友化工新材料有限公司（“华泰华友”）签署协议，拟收购华泰华友51%股权，并按持股比例向华泰华友增资。华泰华友主要从事烧碱等化工产品生产销售。交易前，华友集团持有华泰华友100%股权，单独控制华泰华友。交易后，华泰股份、华友集团分别持有合营企业51%、49%股权，共同控制合营企业。</w:t>
            </w:r>
          </w:p>
        </w:tc>
      </w:tr>
      <w:tr w14:paraId="62C46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restart"/>
            <w:shd w:val="clear" w:color="auto" w:fill="D9D9D9"/>
            <w:vAlign w:val="center"/>
          </w:tcPr>
          <w:p w14:paraId="7F4116E5">
            <w:pPr>
              <w:pStyle w:val="7"/>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参与集中的经营者简介（每个限100字内）</w:t>
            </w:r>
          </w:p>
        </w:tc>
        <w:tc>
          <w:tcPr>
            <w:tcW w:w="1476" w:type="dxa"/>
            <w:vAlign w:val="center"/>
          </w:tcPr>
          <w:p w14:paraId="3DF37B25">
            <w:pPr>
              <w:pStyle w:val="7"/>
              <w:widowControl/>
              <w:adjustRightInd w:val="0"/>
              <w:snapToGrid w:val="0"/>
              <w:spacing w:after="0"/>
              <w:rPr>
                <w:rFonts w:hint="eastAsia"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lang w:val="en-US" w:eastAsia="zh-CN"/>
              </w:rPr>
              <w:t>1</w:t>
            </w:r>
            <w:r>
              <w:rPr>
                <w:rFonts w:hint="default" w:ascii="Times New Roman" w:hAnsi="Times New Roman" w:cs="Times New Roman"/>
                <w:sz w:val="24"/>
              </w:rPr>
              <w:t>.华泰股份</w:t>
            </w:r>
          </w:p>
        </w:tc>
        <w:tc>
          <w:tcPr>
            <w:tcW w:w="6224" w:type="dxa"/>
            <w:vAlign w:val="center"/>
          </w:tcPr>
          <w:p w14:paraId="250E2217">
            <w:pPr>
              <w:pStyle w:val="7"/>
              <w:widowControl/>
              <w:adjustRightInd w:val="0"/>
              <w:snapToGrid w:val="0"/>
              <w:spacing w:after="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华泰股份于1993年6月6日成立于山东省东营市，为上海证券交易所上市公司，主要业务为造纸和化工。</w:t>
            </w:r>
          </w:p>
          <w:p w14:paraId="4645F980">
            <w:pPr>
              <w:pStyle w:val="7"/>
              <w:widowControl/>
              <w:adjustRightInd w:val="0"/>
              <w:snapToGrid w:val="0"/>
              <w:spacing w:after="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华泰股份最终控制人为自然人，主要业务同华泰股份的主要业务。</w:t>
            </w:r>
          </w:p>
        </w:tc>
      </w:tr>
      <w:tr w14:paraId="6C1C4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52B9A0E2">
            <w:pPr>
              <w:pStyle w:val="7"/>
              <w:widowControl/>
              <w:adjustRightInd w:val="0"/>
              <w:snapToGrid w:val="0"/>
              <w:spacing w:after="0"/>
              <w:jc w:val="center"/>
              <w:rPr>
                <w:rFonts w:hint="default" w:ascii="Times New Roman" w:hAnsi="Times New Roman" w:cs="Times New Roman"/>
                <w:bCs/>
                <w:color w:val="000000"/>
                <w:sz w:val="24"/>
              </w:rPr>
            </w:pPr>
          </w:p>
        </w:tc>
        <w:tc>
          <w:tcPr>
            <w:tcW w:w="1476" w:type="dxa"/>
            <w:vAlign w:val="center"/>
          </w:tcPr>
          <w:p w14:paraId="200A8EDA">
            <w:pPr>
              <w:pStyle w:val="7"/>
              <w:widowControl/>
              <w:adjustRightInd w:val="0"/>
              <w:snapToGrid w:val="0"/>
              <w:spacing w:after="0"/>
              <w:rPr>
                <w:rFonts w:hint="default" w:ascii="Times New Roman" w:hAnsi="Times New Roman" w:cs="Times New Roman"/>
                <w:bCs/>
                <w:color w:val="000000"/>
                <w:sz w:val="24"/>
                <w:lang w:val="en-US" w:eastAsia="zh-CN"/>
              </w:rPr>
            </w:pPr>
            <w:r>
              <w:rPr>
                <w:rFonts w:hint="default" w:ascii="Times New Roman" w:hAnsi="Times New Roman" w:cs="Times New Roman"/>
                <w:bCs/>
                <w:color w:val="000000"/>
                <w:sz w:val="24"/>
                <w:lang w:val="en-US" w:eastAsia="zh-CN"/>
              </w:rPr>
              <w:t>2.华友集团</w:t>
            </w:r>
          </w:p>
        </w:tc>
        <w:tc>
          <w:tcPr>
            <w:tcW w:w="6224" w:type="dxa"/>
            <w:vAlign w:val="center"/>
          </w:tcPr>
          <w:p w14:paraId="6BADD2CA">
            <w:pPr>
              <w:pStyle w:val="7"/>
              <w:widowControl/>
              <w:adjustRightInd w:val="0"/>
              <w:snapToGrid w:val="0"/>
              <w:spacing w:after="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华友集团于2006年12月19日成立于浙江省嘉兴市，主要业务为新能源锂电材料的研发、制造和销售。</w:t>
            </w:r>
          </w:p>
          <w:p w14:paraId="74111608">
            <w:pPr>
              <w:pStyle w:val="7"/>
              <w:widowControl/>
              <w:adjustRightInd w:val="0"/>
              <w:snapToGrid w:val="0"/>
              <w:spacing w:after="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华友集团的最终控制人为自然人，主要业务同华友集团的主要业务。</w:t>
            </w:r>
          </w:p>
        </w:tc>
      </w:tr>
      <w:tr w14:paraId="4C6B2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14:paraId="3D032A29">
            <w:pPr>
              <w:pStyle w:val="7"/>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简易案件理由（可以单选，也可以多选）</w:t>
            </w:r>
          </w:p>
        </w:tc>
        <w:tc>
          <w:tcPr>
            <w:tcW w:w="7700" w:type="dxa"/>
            <w:gridSpan w:val="2"/>
            <w:vAlign w:val="center"/>
          </w:tcPr>
          <w:p w14:paraId="7881A73E">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1、在同一相关市场，所有参与集中的经营者所占市场份额之和小于15%。</w:t>
            </w:r>
          </w:p>
        </w:tc>
      </w:tr>
      <w:tr w14:paraId="7832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14:paraId="660DA564">
            <w:pPr>
              <w:pStyle w:val="7"/>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0FA5C53D">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FE"/>
            </w:r>
            <w:r>
              <w:rPr>
                <w:rFonts w:hint="default" w:ascii="Times New Roman" w:hAnsi="Times New Roman" w:cs="Times New Roman"/>
                <w:bCs/>
                <w:color w:val="000000"/>
                <w:sz w:val="24"/>
              </w:rPr>
              <w:t xml:space="preserve"> 2、存在上下游关系的参与集中的经营者，在上下游市场所占的市场份额均小于25%。</w:t>
            </w:r>
          </w:p>
        </w:tc>
      </w:tr>
      <w:tr w14:paraId="5497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14:paraId="7FC4E085">
            <w:pPr>
              <w:pStyle w:val="7"/>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07FE268A">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3、不在同一相关市场、也不存在上下游关系的参与集中的经营者，在与交易有关的每个市场所占的份额均小于25%。</w:t>
            </w:r>
          </w:p>
        </w:tc>
      </w:tr>
      <w:tr w14:paraId="0B8BC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40" w:type="dxa"/>
            <w:vMerge w:val="continue"/>
            <w:shd w:val="clear" w:color="auto" w:fill="D9D9D9"/>
            <w:vAlign w:val="center"/>
          </w:tcPr>
          <w:p w14:paraId="2CE9683A">
            <w:pPr>
              <w:pStyle w:val="7"/>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7C17EAB4">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4、参与集中的经营者在中国境外设立合营企业，合营企业不在中国境内从事经济活动。</w:t>
            </w:r>
          </w:p>
        </w:tc>
      </w:tr>
      <w:tr w14:paraId="6DBBB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14:paraId="6EBC0B23">
            <w:pPr>
              <w:pStyle w:val="7"/>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5BD13E43">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5、参与集中的经营者收购境外企业股权或资产的，该境外企业不在中国境内从事经济活动。</w:t>
            </w:r>
          </w:p>
        </w:tc>
      </w:tr>
      <w:tr w14:paraId="58C2E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14:paraId="551F6A0C">
            <w:pPr>
              <w:pStyle w:val="7"/>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6BB82763">
            <w:pPr>
              <w:pStyle w:val="7"/>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6、由两个以上的经营者共同控制的合营企业，通过集中被其中一个或一个以上经营者控制。</w:t>
            </w:r>
          </w:p>
        </w:tc>
      </w:tr>
      <w:tr w14:paraId="3DEF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40" w:type="dxa"/>
            <w:shd w:val="clear" w:color="auto" w:fill="D9D9D9"/>
            <w:vAlign w:val="center"/>
          </w:tcPr>
          <w:p w14:paraId="0DD62B0A">
            <w:pPr>
              <w:pStyle w:val="7"/>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备注</w:t>
            </w:r>
          </w:p>
        </w:tc>
        <w:tc>
          <w:tcPr>
            <w:tcW w:w="7700" w:type="dxa"/>
            <w:gridSpan w:val="2"/>
            <w:vAlign w:val="center"/>
          </w:tcPr>
          <w:p w14:paraId="66C76A90">
            <w:pPr>
              <w:pStyle w:val="23"/>
              <w:kinsoku/>
              <w:wordWrap w:val="0"/>
              <w:spacing w:after="0"/>
              <w:ind w:firstLine="116" w:firstLineChars="50"/>
              <w:rPr>
                <w:rFonts w:ascii="宋体" w:hAnsi="宋体" w:eastAsia="宋体" w:cs="Times New Roman"/>
                <w:b/>
                <w:bCs/>
                <w:spacing w:val="-4"/>
                <w:lang w:eastAsia="zh-CN"/>
              </w:rPr>
            </w:pPr>
            <w:r>
              <w:rPr>
                <w:rFonts w:ascii="宋体" w:hAnsi="宋体" w:eastAsia="宋体" w:cs="Times New Roman"/>
                <w:b/>
                <w:bCs/>
                <w:spacing w:val="-4"/>
                <w:lang w:eastAsia="zh-CN"/>
              </w:rPr>
              <w:t>纵向关联：</w:t>
            </w:r>
          </w:p>
          <w:tbl>
            <w:tblPr>
              <w:tblStyle w:val="24"/>
              <w:tblW w:w="7444"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41"/>
              <w:gridCol w:w="1984"/>
              <w:gridCol w:w="3119"/>
            </w:tblGrid>
            <w:tr w14:paraId="74010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2341" w:type="dxa"/>
                  <w:tcBorders>
                    <w:top w:val="single" w:color="000000" w:sz="2" w:space="0"/>
                    <w:left w:val="single" w:color="000000" w:sz="2" w:space="0"/>
                    <w:bottom w:val="single" w:color="000000" w:sz="2" w:space="0"/>
                    <w:right w:val="single" w:color="000000" w:sz="2" w:space="0"/>
                  </w:tcBorders>
                  <w:vAlign w:val="center"/>
                </w:tcPr>
                <w:p w14:paraId="3F7A4467">
                  <w:pPr>
                    <w:pStyle w:val="23"/>
                    <w:kinsoku/>
                    <w:wordWrap w:val="0"/>
                    <w:spacing w:after="0"/>
                    <w:jc w:val="center"/>
                    <w:rPr>
                      <w:rFonts w:ascii="宋体" w:hAnsi="宋体" w:eastAsia="宋体" w:cs="Times New Roman"/>
                      <w:lang w:eastAsia="zh-CN"/>
                    </w:rPr>
                  </w:pPr>
                  <w:r>
                    <w:rPr>
                      <w:rFonts w:hint="eastAsia" w:ascii="宋体" w:hAnsi="宋体" w:eastAsia="宋体" w:cs="Times New Roman"/>
                      <w:spacing w:val="-1"/>
                      <w:lang w:eastAsia="zh-CN"/>
                    </w:rPr>
                    <w:t>相关商品市场</w:t>
                  </w:r>
                </w:p>
              </w:tc>
              <w:tc>
                <w:tcPr>
                  <w:tcW w:w="1984" w:type="dxa"/>
                  <w:tcBorders>
                    <w:top w:val="single" w:color="000000" w:sz="2" w:space="0"/>
                    <w:left w:val="single" w:color="000000" w:sz="2" w:space="0"/>
                    <w:bottom w:val="single" w:color="000000" w:sz="2" w:space="0"/>
                    <w:right w:val="single" w:color="000000" w:sz="2" w:space="0"/>
                  </w:tcBorders>
                  <w:vAlign w:val="center"/>
                </w:tcPr>
                <w:p w14:paraId="07E48382">
                  <w:pPr>
                    <w:pStyle w:val="23"/>
                    <w:kinsoku/>
                    <w:wordWrap w:val="0"/>
                    <w:spacing w:after="0"/>
                    <w:jc w:val="center"/>
                    <w:rPr>
                      <w:rFonts w:ascii="宋体" w:hAnsi="宋体" w:eastAsia="宋体" w:cs="Times New Roman"/>
                      <w:lang w:eastAsia="zh-CN"/>
                    </w:rPr>
                  </w:pPr>
                  <w:r>
                    <w:rPr>
                      <w:rFonts w:hint="eastAsia" w:ascii="宋体" w:hAnsi="宋体" w:eastAsia="宋体" w:cs="Times New Roman"/>
                      <w:spacing w:val="-1"/>
                      <w:lang w:eastAsia="zh-CN"/>
                    </w:rPr>
                    <w:t>相关地域市场</w:t>
                  </w:r>
                </w:p>
              </w:tc>
              <w:tc>
                <w:tcPr>
                  <w:tcW w:w="3119" w:type="dxa"/>
                  <w:tcBorders>
                    <w:top w:val="single" w:color="000000" w:sz="2" w:space="0"/>
                    <w:left w:val="single" w:color="000000" w:sz="2" w:space="0"/>
                    <w:bottom w:val="single" w:color="000000" w:sz="2" w:space="0"/>
                    <w:right w:val="single" w:color="000000" w:sz="2" w:space="0"/>
                  </w:tcBorders>
                  <w:vAlign w:val="center"/>
                </w:tcPr>
                <w:p w14:paraId="6385586D">
                  <w:pPr>
                    <w:pStyle w:val="23"/>
                    <w:kinsoku/>
                    <w:wordWrap w:val="0"/>
                    <w:spacing w:after="0"/>
                    <w:jc w:val="center"/>
                    <w:rPr>
                      <w:rFonts w:ascii="宋体" w:hAnsi="宋体" w:eastAsia="宋体" w:cs="Times New Roman"/>
                      <w:lang w:eastAsia="zh-CN"/>
                    </w:rPr>
                  </w:pPr>
                  <w:r>
                    <w:rPr>
                      <w:rFonts w:hint="eastAsia" w:ascii="宋体" w:hAnsi="宋体" w:eastAsia="宋体" w:cs="Times New Roman"/>
                      <w:spacing w:val="6"/>
                      <w:lang w:eastAsia="zh-CN"/>
                    </w:rPr>
                    <w:t>2024年市场份额</w:t>
                  </w:r>
                </w:p>
              </w:tc>
            </w:tr>
            <w:tr w14:paraId="32F8C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2341" w:type="dxa"/>
                  <w:tcBorders>
                    <w:top w:val="single" w:color="000000" w:sz="2" w:space="0"/>
                    <w:left w:val="single" w:color="000000" w:sz="2" w:space="0"/>
                    <w:bottom w:val="single" w:color="000000" w:sz="2" w:space="0"/>
                    <w:right w:val="single" w:color="000000" w:sz="2" w:space="0"/>
                  </w:tcBorders>
                  <w:vAlign w:val="center"/>
                </w:tcPr>
                <w:p w14:paraId="2D11B94D">
                  <w:pPr>
                    <w:pStyle w:val="23"/>
                    <w:kinsoku/>
                    <w:wordWrap w:val="0"/>
                    <w:spacing w:after="0"/>
                    <w:jc w:val="both"/>
                    <w:rPr>
                      <w:rFonts w:ascii="宋体" w:hAnsi="宋体" w:eastAsia="宋体" w:cs="Times New Roman"/>
                      <w:spacing w:val="9"/>
                      <w:lang w:eastAsia="zh-CN"/>
                    </w:rPr>
                  </w:pPr>
                  <w:r>
                    <w:rPr>
                      <w:rFonts w:hint="eastAsia" w:ascii="宋体" w:hAnsi="宋体" w:eastAsia="宋体" w:cs="Times New Roman"/>
                      <w:spacing w:val="9"/>
                      <w:lang w:eastAsia="zh-CN"/>
                    </w:rPr>
                    <w:t>上游：烧碱市场</w:t>
                  </w:r>
                </w:p>
                <w:p w14:paraId="391801C1">
                  <w:pPr>
                    <w:pStyle w:val="23"/>
                    <w:kinsoku/>
                    <w:wordWrap w:val="0"/>
                    <w:spacing w:after="0"/>
                    <w:jc w:val="both"/>
                    <w:rPr>
                      <w:rFonts w:ascii="宋体" w:hAnsi="宋体" w:eastAsia="宋体" w:cs="Times New Roman"/>
                      <w:spacing w:val="9"/>
                      <w:lang w:eastAsia="zh-CN"/>
                    </w:rPr>
                  </w:pPr>
                  <w:r>
                    <w:rPr>
                      <w:rFonts w:hint="eastAsia" w:ascii="宋体" w:hAnsi="宋体" w:eastAsia="宋体" w:cs="Times New Roman"/>
                      <w:spacing w:val="9"/>
                      <w:lang w:eastAsia="zh-CN"/>
                    </w:rPr>
                    <w:t>下游：镍钴锰三元前驱体市场</w:t>
                  </w:r>
                </w:p>
              </w:tc>
              <w:tc>
                <w:tcPr>
                  <w:tcW w:w="1984" w:type="dxa"/>
                  <w:tcBorders>
                    <w:top w:val="single" w:color="000000" w:sz="2" w:space="0"/>
                    <w:left w:val="single" w:color="000000" w:sz="2" w:space="0"/>
                    <w:bottom w:val="single" w:color="000000" w:sz="2" w:space="0"/>
                    <w:right w:val="single" w:color="000000" w:sz="2" w:space="0"/>
                  </w:tcBorders>
                  <w:vAlign w:val="center"/>
                </w:tcPr>
                <w:p w14:paraId="564EB826">
                  <w:pPr>
                    <w:pStyle w:val="23"/>
                    <w:kinsoku/>
                    <w:wordWrap w:val="0"/>
                    <w:spacing w:after="0"/>
                    <w:ind w:left="110"/>
                    <w:jc w:val="both"/>
                    <w:rPr>
                      <w:rFonts w:ascii="宋体" w:hAnsi="宋体" w:eastAsia="宋体" w:cs="Times New Roman"/>
                      <w:lang w:eastAsia="zh-CN"/>
                    </w:rPr>
                  </w:pPr>
                  <w:r>
                    <w:rPr>
                      <w:rFonts w:hint="eastAsia" w:ascii="宋体" w:hAnsi="宋体" w:eastAsia="宋体" w:cs="Times New Roman"/>
                      <w:spacing w:val="-6"/>
                      <w:lang w:eastAsia="zh-CN"/>
                    </w:rPr>
                    <w:t>上游：中国境内</w:t>
                  </w:r>
                </w:p>
                <w:p w14:paraId="4A67D730">
                  <w:pPr>
                    <w:pStyle w:val="23"/>
                    <w:kinsoku/>
                    <w:wordWrap w:val="0"/>
                    <w:spacing w:after="0"/>
                    <w:jc w:val="both"/>
                    <w:rPr>
                      <w:rFonts w:ascii="宋体" w:hAnsi="宋体" w:eastAsia="宋体" w:cs="Times New Roman"/>
                      <w:spacing w:val="-6"/>
                      <w:lang w:eastAsia="zh-CN"/>
                    </w:rPr>
                  </w:pPr>
                </w:p>
                <w:p w14:paraId="49A402F8">
                  <w:pPr>
                    <w:pStyle w:val="23"/>
                    <w:kinsoku/>
                    <w:wordWrap w:val="0"/>
                    <w:spacing w:after="0"/>
                    <w:ind w:left="110"/>
                    <w:jc w:val="both"/>
                    <w:rPr>
                      <w:rFonts w:ascii="宋体" w:hAnsi="宋体" w:eastAsia="宋体" w:cs="Times New Roman"/>
                      <w:lang w:eastAsia="zh-CN"/>
                    </w:rPr>
                  </w:pPr>
                  <w:r>
                    <w:rPr>
                      <w:rFonts w:hint="eastAsia" w:ascii="宋体" w:hAnsi="宋体" w:eastAsia="宋体" w:cs="Times New Roman"/>
                      <w:spacing w:val="-6"/>
                      <w:lang w:eastAsia="zh-CN"/>
                    </w:rPr>
                    <w:t>下游：全球</w:t>
                  </w:r>
                </w:p>
              </w:tc>
              <w:tc>
                <w:tcPr>
                  <w:tcW w:w="3119" w:type="dxa"/>
                  <w:tcBorders>
                    <w:top w:val="single" w:color="000000" w:sz="2" w:space="0"/>
                    <w:left w:val="single" w:color="000000" w:sz="2" w:space="0"/>
                    <w:bottom w:val="single" w:color="000000" w:sz="2" w:space="0"/>
                    <w:right w:val="single" w:color="000000" w:sz="2" w:space="0"/>
                  </w:tcBorders>
                  <w:vAlign w:val="center"/>
                </w:tcPr>
                <w:p w14:paraId="6AAE959F">
                  <w:pPr>
                    <w:pStyle w:val="23"/>
                    <w:kinsoku/>
                    <w:wordWrap w:val="0"/>
                    <w:spacing w:after="0"/>
                    <w:ind w:left="113"/>
                    <w:jc w:val="both"/>
                    <w:rPr>
                      <w:rFonts w:ascii="宋体" w:hAnsi="宋体" w:eastAsia="宋体" w:cs="Times New Roman"/>
                      <w:lang w:eastAsia="zh-CN"/>
                    </w:rPr>
                  </w:pPr>
                  <w:r>
                    <w:rPr>
                      <w:rFonts w:hint="eastAsia" w:ascii="宋体" w:hAnsi="宋体" w:eastAsia="宋体" w:cs="Times New Roman"/>
                      <w:spacing w:val="9"/>
                      <w:lang w:eastAsia="zh-CN"/>
                    </w:rPr>
                    <w:t>上游：中国境内烧碱市场</w:t>
                  </w:r>
                </w:p>
                <w:p w14:paraId="2896D256">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spacing w:val="-10"/>
                      <w:lang w:eastAsia="zh-CN"/>
                    </w:rPr>
                    <w:t>华泰股份：</w:t>
                  </w:r>
                  <w:r>
                    <w:rPr>
                      <w:rFonts w:hint="eastAsia" w:ascii="宋体" w:hAnsi="宋体" w:eastAsia="宋体" w:cs="Times New Roman"/>
                      <w:spacing w:val="-10"/>
                      <w:lang w:val="en-US" w:eastAsia="zh-CN"/>
                    </w:rPr>
                    <w:t>0-5%</w:t>
                  </w:r>
                </w:p>
                <w:p w14:paraId="60BD623E">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spacing w:val="9"/>
                      <w:lang w:eastAsia="zh-CN"/>
                    </w:rPr>
                    <w:t>下游：全球镍钴锰三元前驱体市场</w:t>
                  </w:r>
                </w:p>
                <w:p w14:paraId="628FAEB4">
                  <w:pPr>
                    <w:pStyle w:val="23"/>
                    <w:kinsoku/>
                    <w:wordWrap w:val="0"/>
                    <w:spacing w:after="0"/>
                    <w:ind w:left="113"/>
                    <w:jc w:val="both"/>
                    <w:rPr>
                      <w:rFonts w:ascii="宋体" w:hAnsi="宋体" w:eastAsia="宋体" w:cs="Times New Roman"/>
                      <w:spacing w:val="-10"/>
                      <w:lang w:eastAsia="zh-CN"/>
                    </w:rPr>
                  </w:pPr>
                  <w:r>
                    <w:rPr>
                      <w:rFonts w:hint="eastAsia" w:ascii="宋体" w:hAnsi="宋体" w:eastAsia="宋体" w:cs="Times New Roman"/>
                      <w:spacing w:val="9"/>
                      <w:lang w:eastAsia="zh-CN"/>
                    </w:rPr>
                    <w:t>华友集团：1</w:t>
                  </w:r>
                  <w:r>
                    <w:rPr>
                      <w:rFonts w:hint="eastAsia" w:ascii="宋体" w:hAnsi="宋体" w:eastAsia="宋体" w:cs="Times New Roman"/>
                      <w:spacing w:val="-10"/>
                      <w:lang w:eastAsia="zh-CN"/>
                    </w:rPr>
                    <w:t>0-15%</w:t>
                  </w:r>
                </w:p>
              </w:tc>
            </w:tr>
            <w:tr w14:paraId="43CB73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2341" w:type="dxa"/>
                  <w:tcBorders>
                    <w:top w:val="single" w:color="000000" w:sz="2" w:space="0"/>
                    <w:left w:val="single" w:color="000000" w:sz="2" w:space="0"/>
                    <w:bottom w:val="single" w:color="000000" w:sz="2" w:space="0"/>
                    <w:right w:val="single" w:color="000000" w:sz="2" w:space="0"/>
                  </w:tcBorders>
                  <w:vAlign w:val="center"/>
                </w:tcPr>
                <w:p w14:paraId="38A1DA7A">
                  <w:pPr>
                    <w:pStyle w:val="23"/>
                    <w:kinsoku/>
                    <w:wordWrap w:val="0"/>
                    <w:spacing w:after="0"/>
                    <w:jc w:val="both"/>
                    <w:rPr>
                      <w:rFonts w:ascii="宋体" w:hAnsi="宋体" w:eastAsia="宋体" w:cs="Times New Roman"/>
                      <w:lang w:eastAsia="zh-CN"/>
                    </w:rPr>
                  </w:pPr>
                  <w:r>
                    <w:rPr>
                      <w:rFonts w:hint="eastAsia" w:ascii="宋体" w:hAnsi="宋体" w:eastAsia="宋体" w:cs="Times New Roman"/>
                      <w:spacing w:val="9"/>
                      <w:lang w:eastAsia="zh-CN"/>
                    </w:rPr>
                    <w:t>上游：烧碱市场</w:t>
                  </w:r>
                </w:p>
                <w:p w14:paraId="7FE0AED8">
                  <w:pPr>
                    <w:pStyle w:val="23"/>
                    <w:kinsoku/>
                    <w:wordWrap w:val="0"/>
                    <w:spacing w:after="0"/>
                    <w:jc w:val="both"/>
                    <w:rPr>
                      <w:rFonts w:ascii="宋体" w:hAnsi="宋体" w:eastAsia="宋体" w:cs="Times New Roman"/>
                      <w:spacing w:val="9"/>
                      <w:lang w:eastAsia="zh-CN"/>
                    </w:rPr>
                  </w:pPr>
                  <w:r>
                    <w:rPr>
                      <w:rFonts w:hint="eastAsia" w:ascii="宋体" w:hAnsi="宋体" w:eastAsia="宋体" w:cs="Times New Roman"/>
                      <w:spacing w:val="9"/>
                      <w:lang w:eastAsia="zh-CN"/>
                    </w:rPr>
                    <w:t>下游：电解钴市场</w:t>
                  </w:r>
                </w:p>
              </w:tc>
              <w:tc>
                <w:tcPr>
                  <w:tcW w:w="1984" w:type="dxa"/>
                  <w:tcBorders>
                    <w:top w:val="single" w:color="000000" w:sz="2" w:space="0"/>
                    <w:left w:val="single" w:color="000000" w:sz="2" w:space="0"/>
                    <w:bottom w:val="single" w:color="000000" w:sz="2" w:space="0"/>
                    <w:right w:val="single" w:color="000000" w:sz="2" w:space="0"/>
                  </w:tcBorders>
                  <w:vAlign w:val="center"/>
                </w:tcPr>
                <w:p w14:paraId="35B28FE5">
                  <w:pPr>
                    <w:pStyle w:val="23"/>
                    <w:kinsoku/>
                    <w:wordWrap w:val="0"/>
                    <w:spacing w:after="0"/>
                    <w:ind w:left="110"/>
                    <w:jc w:val="both"/>
                    <w:rPr>
                      <w:rFonts w:ascii="宋体" w:hAnsi="宋体" w:eastAsia="宋体" w:cs="Times New Roman"/>
                      <w:spacing w:val="-1"/>
                      <w:lang w:eastAsia="zh-CN"/>
                    </w:rPr>
                  </w:pPr>
                  <w:r>
                    <w:rPr>
                      <w:rFonts w:hint="eastAsia" w:ascii="宋体" w:hAnsi="宋体" w:eastAsia="宋体" w:cs="Times New Roman"/>
                      <w:spacing w:val="-6"/>
                      <w:lang w:eastAsia="zh-CN"/>
                    </w:rPr>
                    <w:t>上游：中国境内</w:t>
                  </w:r>
                </w:p>
                <w:p w14:paraId="57EEF5D9">
                  <w:pPr>
                    <w:pStyle w:val="23"/>
                    <w:kinsoku/>
                    <w:wordWrap w:val="0"/>
                    <w:spacing w:after="0"/>
                    <w:ind w:left="110"/>
                    <w:jc w:val="both"/>
                    <w:rPr>
                      <w:rFonts w:ascii="宋体" w:hAnsi="宋体" w:eastAsia="宋体" w:cs="Times New Roman"/>
                      <w:spacing w:val="-6"/>
                      <w:lang w:eastAsia="zh-CN"/>
                    </w:rPr>
                  </w:pPr>
                  <w:r>
                    <w:rPr>
                      <w:rFonts w:hint="eastAsia" w:ascii="宋体" w:hAnsi="宋体" w:eastAsia="宋体" w:cs="Times New Roman"/>
                      <w:spacing w:val="-1"/>
                      <w:lang w:eastAsia="zh-CN"/>
                    </w:rPr>
                    <w:t>下游：全球</w:t>
                  </w:r>
                </w:p>
              </w:tc>
              <w:tc>
                <w:tcPr>
                  <w:tcW w:w="3119" w:type="dxa"/>
                  <w:tcBorders>
                    <w:top w:val="single" w:color="000000" w:sz="2" w:space="0"/>
                    <w:left w:val="single" w:color="000000" w:sz="2" w:space="0"/>
                    <w:bottom w:val="single" w:color="000000" w:sz="2" w:space="0"/>
                    <w:right w:val="single" w:color="000000" w:sz="2" w:space="0"/>
                  </w:tcBorders>
                  <w:vAlign w:val="center"/>
                </w:tcPr>
                <w:p w14:paraId="36FEBAA3">
                  <w:pPr>
                    <w:pStyle w:val="23"/>
                    <w:kinsoku/>
                    <w:wordWrap w:val="0"/>
                    <w:spacing w:after="0"/>
                    <w:ind w:left="113"/>
                    <w:jc w:val="both"/>
                    <w:rPr>
                      <w:rFonts w:ascii="宋体" w:hAnsi="宋体" w:eastAsia="宋体" w:cs="Times New Roman"/>
                      <w:lang w:eastAsia="zh-CN"/>
                    </w:rPr>
                  </w:pPr>
                  <w:r>
                    <w:rPr>
                      <w:rFonts w:hint="eastAsia" w:ascii="宋体" w:hAnsi="宋体" w:eastAsia="宋体" w:cs="Times New Roman"/>
                      <w:spacing w:val="9"/>
                      <w:lang w:eastAsia="zh-CN"/>
                    </w:rPr>
                    <w:t>上游：中国境内烧碱市场</w:t>
                  </w:r>
                </w:p>
                <w:p w14:paraId="0CDE2672">
                  <w:pPr>
                    <w:pStyle w:val="23"/>
                    <w:kinsoku/>
                    <w:wordWrap w:val="0"/>
                    <w:spacing w:after="0"/>
                    <w:ind w:left="111"/>
                    <w:jc w:val="both"/>
                    <w:rPr>
                      <w:rFonts w:ascii="宋体" w:hAnsi="宋体" w:eastAsia="宋体" w:cs="Times New Roman"/>
                      <w:spacing w:val="9"/>
                      <w:lang w:eastAsia="zh-CN"/>
                    </w:rPr>
                  </w:pPr>
                  <w:r>
                    <w:rPr>
                      <w:rFonts w:hint="eastAsia" w:ascii="宋体" w:hAnsi="宋体" w:eastAsia="宋体" w:cs="Times New Roman"/>
                      <w:spacing w:val="-10"/>
                      <w:lang w:eastAsia="zh-CN"/>
                    </w:rPr>
                    <w:t>华泰股份：</w:t>
                  </w:r>
                  <w:r>
                    <w:rPr>
                      <w:rFonts w:hint="eastAsia" w:ascii="宋体" w:hAnsi="宋体" w:eastAsia="宋体" w:cs="Times New Roman"/>
                      <w:spacing w:val="-1"/>
                      <w:lang w:eastAsia="zh-CN"/>
                    </w:rPr>
                    <w:t>如上所述</w:t>
                  </w:r>
                </w:p>
                <w:p w14:paraId="196A116F">
                  <w:pPr>
                    <w:pStyle w:val="23"/>
                    <w:kinsoku/>
                    <w:wordWrap w:val="0"/>
                    <w:spacing w:after="0"/>
                    <w:ind w:left="113"/>
                    <w:jc w:val="both"/>
                    <w:rPr>
                      <w:rFonts w:ascii="宋体" w:hAnsi="宋体" w:eastAsia="宋体" w:cs="Times New Roman"/>
                      <w:lang w:eastAsia="zh-CN"/>
                    </w:rPr>
                  </w:pPr>
                  <w:r>
                    <w:rPr>
                      <w:rFonts w:hint="eastAsia" w:ascii="宋体" w:hAnsi="宋体" w:eastAsia="宋体" w:cs="Times New Roman"/>
                      <w:spacing w:val="9"/>
                      <w:lang w:eastAsia="zh-CN"/>
                    </w:rPr>
                    <w:t>下游：</w:t>
                  </w:r>
                  <w:r>
                    <w:rPr>
                      <w:rFonts w:hint="eastAsia" w:ascii="宋体" w:hAnsi="宋体" w:eastAsia="宋体" w:cs="Times New Roman"/>
                      <w:spacing w:val="-1"/>
                      <w:lang w:eastAsia="zh-CN"/>
                    </w:rPr>
                    <w:t>全球</w:t>
                  </w:r>
                  <w:r>
                    <w:rPr>
                      <w:rFonts w:hint="eastAsia" w:ascii="宋体" w:hAnsi="宋体" w:eastAsia="宋体" w:cs="Times New Roman"/>
                      <w:spacing w:val="9"/>
                      <w:lang w:eastAsia="zh-CN"/>
                    </w:rPr>
                    <w:t>电解钴市场</w:t>
                  </w:r>
                </w:p>
                <w:p w14:paraId="334033A0">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spacing w:val="9"/>
                      <w:lang w:eastAsia="zh-CN"/>
                    </w:rPr>
                    <w:t>华友集团：</w:t>
                  </w:r>
                  <w:r>
                    <w:rPr>
                      <w:rFonts w:ascii="宋体" w:hAnsi="宋体" w:eastAsia="宋体" w:cs="Times New Roman"/>
                      <w:spacing w:val="-10"/>
                      <w:lang w:eastAsia="zh-CN"/>
                    </w:rPr>
                    <w:t>10-15</w:t>
                  </w:r>
                  <w:r>
                    <w:rPr>
                      <w:rFonts w:hint="eastAsia" w:ascii="宋体" w:hAnsi="宋体" w:eastAsia="宋体" w:cs="Times New Roman"/>
                      <w:spacing w:val="-10"/>
                      <w:lang w:eastAsia="zh-CN"/>
                    </w:rPr>
                    <w:t>%</w:t>
                  </w:r>
                </w:p>
              </w:tc>
            </w:tr>
            <w:tr w14:paraId="34A6D5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8" w:hRule="atLeast"/>
              </w:trPr>
              <w:tc>
                <w:tcPr>
                  <w:tcW w:w="2341" w:type="dxa"/>
                  <w:tcBorders>
                    <w:top w:val="single" w:color="000000" w:sz="2" w:space="0"/>
                    <w:left w:val="single" w:color="000000" w:sz="2" w:space="0"/>
                    <w:bottom w:val="single" w:color="000000" w:sz="2" w:space="0"/>
                    <w:right w:val="single" w:color="000000" w:sz="2" w:space="0"/>
                  </w:tcBorders>
                  <w:vAlign w:val="center"/>
                </w:tcPr>
                <w:p w14:paraId="718CD4A0">
                  <w:pPr>
                    <w:pStyle w:val="23"/>
                    <w:kinsoku/>
                    <w:wordWrap w:val="0"/>
                    <w:spacing w:after="0"/>
                    <w:jc w:val="both"/>
                    <w:rPr>
                      <w:rFonts w:ascii="宋体" w:hAnsi="宋体" w:eastAsia="宋体" w:cs="Times New Roman"/>
                      <w:lang w:eastAsia="zh-CN"/>
                    </w:rPr>
                  </w:pPr>
                  <w:r>
                    <w:rPr>
                      <w:rFonts w:hint="eastAsia" w:ascii="宋体" w:hAnsi="宋体" w:eastAsia="宋体" w:cs="Times New Roman"/>
                      <w:spacing w:val="9"/>
                      <w:lang w:eastAsia="zh-CN"/>
                    </w:rPr>
                    <w:t>上游：烧碱市场</w:t>
                  </w:r>
                </w:p>
                <w:p w14:paraId="1034C4F8">
                  <w:pPr>
                    <w:pStyle w:val="23"/>
                    <w:kinsoku/>
                    <w:wordWrap w:val="0"/>
                    <w:spacing w:after="0"/>
                    <w:jc w:val="both"/>
                    <w:rPr>
                      <w:rFonts w:hint="eastAsia" w:ascii="宋体" w:hAnsi="宋体" w:eastAsia="宋体" w:cs="Times New Roman"/>
                      <w:spacing w:val="9"/>
                      <w:lang w:eastAsia="zh-CN"/>
                    </w:rPr>
                  </w:pPr>
                  <w:r>
                    <w:rPr>
                      <w:rFonts w:hint="eastAsia" w:ascii="宋体" w:hAnsi="宋体" w:eastAsia="宋体" w:cs="Times New Roman"/>
                      <w:spacing w:val="9"/>
                      <w:lang w:eastAsia="zh-CN"/>
                    </w:rPr>
                    <w:t>下游：磷酸铁市场</w:t>
                  </w:r>
                </w:p>
              </w:tc>
              <w:tc>
                <w:tcPr>
                  <w:tcW w:w="1984" w:type="dxa"/>
                  <w:tcBorders>
                    <w:top w:val="single" w:color="000000" w:sz="2" w:space="0"/>
                    <w:left w:val="single" w:color="000000" w:sz="2" w:space="0"/>
                    <w:bottom w:val="single" w:color="000000" w:sz="2" w:space="0"/>
                    <w:right w:val="single" w:color="000000" w:sz="2" w:space="0"/>
                  </w:tcBorders>
                  <w:vAlign w:val="center"/>
                </w:tcPr>
                <w:p w14:paraId="7EEC38F1">
                  <w:pPr>
                    <w:pStyle w:val="23"/>
                    <w:kinsoku/>
                    <w:wordWrap w:val="0"/>
                    <w:spacing w:after="0"/>
                    <w:ind w:left="110"/>
                    <w:jc w:val="both"/>
                    <w:rPr>
                      <w:rFonts w:ascii="宋体" w:hAnsi="宋体" w:eastAsia="宋体" w:cs="Times New Roman"/>
                      <w:spacing w:val="-1"/>
                      <w:lang w:eastAsia="zh-CN"/>
                    </w:rPr>
                  </w:pPr>
                  <w:r>
                    <w:rPr>
                      <w:rFonts w:hint="eastAsia" w:ascii="宋体" w:hAnsi="宋体" w:eastAsia="宋体" w:cs="Times New Roman"/>
                      <w:spacing w:val="-6"/>
                      <w:lang w:eastAsia="zh-CN"/>
                    </w:rPr>
                    <w:t>上游：中国境内</w:t>
                  </w:r>
                </w:p>
                <w:p w14:paraId="6C23EB2A">
                  <w:pPr>
                    <w:pStyle w:val="23"/>
                    <w:kinsoku/>
                    <w:wordWrap w:val="0"/>
                    <w:spacing w:after="0"/>
                    <w:ind w:left="110" w:leftChars="0"/>
                    <w:jc w:val="both"/>
                    <w:rPr>
                      <w:rFonts w:hint="eastAsia" w:ascii="宋体" w:hAnsi="宋体" w:eastAsia="宋体" w:cs="Times New Roman"/>
                      <w:spacing w:val="-1"/>
                      <w:lang w:eastAsia="zh-CN"/>
                    </w:rPr>
                  </w:pPr>
                  <w:r>
                    <w:rPr>
                      <w:rFonts w:hint="eastAsia" w:ascii="宋体" w:hAnsi="宋体" w:eastAsia="宋体" w:cs="Times New Roman"/>
                      <w:spacing w:val="-6"/>
                      <w:lang w:eastAsia="zh-CN"/>
                    </w:rPr>
                    <w:t>下游：中国境内</w:t>
                  </w:r>
                </w:p>
              </w:tc>
              <w:tc>
                <w:tcPr>
                  <w:tcW w:w="3119" w:type="dxa"/>
                  <w:tcBorders>
                    <w:top w:val="single" w:color="000000" w:sz="2" w:space="0"/>
                    <w:left w:val="single" w:color="000000" w:sz="2" w:space="0"/>
                    <w:bottom w:val="single" w:color="000000" w:sz="2" w:space="0"/>
                    <w:right w:val="single" w:color="000000" w:sz="2" w:space="0"/>
                  </w:tcBorders>
                  <w:vAlign w:val="center"/>
                </w:tcPr>
                <w:p w14:paraId="06889026">
                  <w:pPr>
                    <w:pStyle w:val="23"/>
                    <w:kinsoku/>
                    <w:wordWrap w:val="0"/>
                    <w:spacing w:after="0"/>
                    <w:ind w:left="113"/>
                    <w:jc w:val="both"/>
                    <w:rPr>
                      <w:rFonts w:ascii="宋体" w:hAnsi="宋体" w:eastAsia="宋体" w:cs="Times New Roman"/>
                      <w:lang w:eastAsia="zh-CN"/>
                    </w:rPr>
                  </w:pPr>
                  <w:r>
                    <w:rPr>
                      <w:rFonts w:hint="eastAsia" w:ascii="宋体" w:hAnsi="宋体" w:eastAsia="宋体" w:cs="Times New Roman"/>
                      <w:spacing w:val="9"/>
                      <w:lang w:eastAsia="zh-CN"/>
                    </w:rPr>
                    <w:t>上游：中国境内烧碱市场</w:t>
                  </w:r>
                </w:p>
                <w:p w14:paraId="6EFD6EE8">
                  <w:pPr>
                    <w:pStyle w:val="23"/>
                    <w:kinsoku/>
                    <w:wordWrap w:val="0"/>
                    <w:spacing w:after="0"/>
                    <w:ind w:left="111"/>
                    <w:jc w:val="both"/>
                    <w:rPr>
                      <w:rFonts w:ascii="宋体" w:hAnsi="宋体" w:eastAsia="宋体" w:cs="Times New Roman"/>
                      <w:spacing w:val="9"/>
                      <w:lang w:eastAsia="zh-CN"/>
                    </w:rPr>
                  </w:pPr>
                  <w:r>
                    <w:rPr>
                      <w:rFonts w:hint="eastAsia" w:ascii="宋体" w:hAnsi="宋体" w:eastAsia="宋体" w:cs="Times New Roman"/>
                      <w:spacing w:val="-10"/>
                      <w:lang w:eastAsia="zh-CN"/>
                    </w:rPr>
                    <w:t>华泰股份：</w:t>
                  </w:r>
                  <w:r>
                    <w:rPr>
                      <w:rFonts w:hint="eastAsia" w:ascii="宋体" w:hAnsi="宋体" w:eastAsia="宋体" w:cs="Times New Roman"/>
                      <w:spacing w:val="-1"/>
                      <w:lang w:eastAsia="zh-CN"/>
                    </w:rPr>
                    <w:t>如上所述</w:t>
                  </w:r>
                </w:p>
                <w:p w14:paraId="71CC4C13">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spacing w:val="9"/>
                      <w:lang w:eastAsia="zh-CN"/>
                    </w:rPr>
                    <w:t>下游：中国境内磷酸铁市场</w:t>
                  </w:r>
                </w:p>
                <w:p w14:paraId="0B23D2E4">
                  <w:pPr>
                    <w:pStyle w:val="23"/>
                    <w:kinsoku/>
                    <w:wordWrap w:val="0"/>
                    <w:spacing w:after="0"/>
                    <w:ind w:left="113" w:leftChars="0"/>
                    <w:jc w:val="both"/>
                    <w:rPr>
                      <w:rFonts w:hint="eastAsia" w:ascii="宋体" w:hAnsi="宋体" w:eastAsia="宋体" w:cs="Times New Roman"/>
                      <w:spacing w:val="9"/>
                      <w:lang w:eastAsia="zh-CN"/>
                    </w:rPr>
                  </w:pPr>
                  <w:r>
                    <w:rPr>
                      <w:rFonts w:hint="eastAsia" w:ascii="宋体" w:hAnsi="宋体" w:eastAsia="宋体" w:cs="Times New Roman"/>
                      <w:spacing w:val="9"/>
                      <w:lang w:eastAsia="zh-CN"/>
                    </w:rPr>
                    <w:t>华友集团：0-5%</w:t>
                  </w:r>
                </w:p>
              </w:tc>
            </w:tr>
            <w:tr w14:paraId="47C41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7" w:hRule="atLeast"/>
              </w:trPr>
              <w:tc>
                <w:tcPr>
                  <w:tcW w:w="2341" w:type="dxa"/>
                  <w:tcBorders>
                    <w:top w:val="single" w:color="000000" w:sz="2" w:space="0"/>
                    <w:left w:val="single" w:color="000000" w:sz="2" w:space="0"/>
                    <w:bottom w:val="single" w:color="000000" w:sz="2" w:space="0"/>
                    <w:right w:val="single" w:color="000000" w:sz="2" w:space="0"/>
                  </w:tcBorders>
                  <w:vAlign w:val="center"/>
                </w:tcPr>
                <w:p w14:paraId="6CAC64EE">
                  <w:pPr>
                    <w:pStyle w:val="23"/>
                    <w:kinsoku/>
                    <w:wordWrap w:val="0"/>
                    <w:spacing w:after="0"/>
                    <w:jc w:val="both"/>
                    <w:rPr>
                      <w:rFonts w:ascii="宋体" w:hAnsi="宋体" w:eastAsia="宋体" w:cs="Times New Roman"/>
                      <w:spacing w:val="9"/>
                      <w:lang w:eastAsia="zh-CN"/>
                    </w:rPr>
                  </w:pPr>
                  <w:r>
                    <w:rPr>
                      <w:rFonts w:hint="eastAsia" w:ascii="宋体" w:hAnsi="宋体" w:eastAsia="宋体" w:cs="Times New Roman"/>
                      <w:spacing w:val="9"/>
                      <w:lang w:eastAsia="zh-CN"/>
                    </w:rPr>
                    <w:t>上游：</w:t>
                  </w:r>
                  <w:r>
                    <w:rPr>
                      <w:rFonts w:hint="eastAsia" w:ascii="宋体" w:hAnsi="宋体" w:eastAsia="宋体" w:cs="Times New Roman"/>
                      <w:spacing w:val="9"/>
                      <w:lang w:val="en-US" w:eastAsia="zh-CN"/>
                    </w:rPr>
                    <w:t>工业级</w:t>
                  </w:r>
                  <w:r>
                    <w:rPr>
                      <w:rFonts w:hint="eastAsia" w:ascii="宋体" w:hAnsi="宋体" w:eastAsia="宋体" w:cs="Times New Roman"/>
                      <w:spacing w:val="9"/>
                      <w:lang w:eastAsia="zh-CN"/>
                    </w:rPr>
                    <w:t>双氧水市场</w:t>
                  </w:r>
                </w:p>
                <w:p w14:paraId="11DCF6D0">
                  <w:pPr>
                    <w:pStyle w:val="23"/>
                    <w:kinsoku/>
                    <w:wordWrap w:val="0"/>
                    <w:spacing w:after="0"/>
                    <w:jc w:val="both"/>
                    <w:rPr>
                      <w:rFonts w:ascii="宋体" w:hAnsi="宋体" w:eastAsia="宋体" w:cs="Times New Roman"/>
                      <w:spacing w:val="9"/>
                      <w:lang w:eastAsia="zh-CN"/>
                    </w:rPr>
                  </w:pPr>
                  <w:r>
                    <w:rPr>
                      <w:rFonts w:hint="eastAsia" w:ascii="宋体" w:hAnsi="宋体" w:eastAsia="宋体" w:cs="Times New Roman"/>
                      <w:spacing w:val="9"/>
                      <w:lang w:eastAsia="zh-CN"/>
                    </w:rPr>
                    <w:t>下游：磷酸铁市场</w:t>
                  </w:r>
                </w:p>
              </w:tc>
              <w:tc>
                <w:tcPr>
                  <w:tcW w:w="1984" w:type="dxa"/>
                  <w:tcBorders>
                    <w:top w:val="single" w:color="000000" w:sz="2" w:space="0"/>
                    <w:left w:val="single" w:color="000000" w:sz="2" w:space="0"/>
                    <w:bottom w:val="single" w:color="000000" w:sz="2" w:space="0"/>
                    <w:right w:val="single" w:color="000000" w:sz="2" w:space="0"/>
                  </w:tcBorders>
                  <w:vAlign w:val="center"/>
                </w:tcPr>
                <w:p w14:paraId="7E5C003B">
                  <w:pPr>
                    <w:pStyle w:val="23"/>
                    <w:kinsoku/>
                    <w:wordWrap w:val="0"/>
                    <w:spacing w:after="0"/>
                    <w:ind w:left="110"/>
                    <w:jc w:val="both"/>
                    <w:rPr>
                      <w:rFonts w:hint="eastAsia" w:ascii="宋体" w:hAnsi="宋体" w:eastAsia="宋体" w:cs="Times New Roman"/>
                      <w:spacing w:val="-6"/>
                      <w:lang w:eastAsia="zh-CN"/>
                    </w:rPr>
                  </w:pPr>
                  <w:r>
                    <w:rPr>
                      <w:rFonts w:hint="eastAsia" w:ascii="宋体" w:hAnsi="宋体" w:eastAsia="宋体" w:cs="Times New Roman"/>
                      <w:spacing w:val="-6"/>
                      <w:lang w:eastAsia="zh-CN"/>
                    </w:rPr>
                    <w:t>上游：</w:t>
                  </w:r>
                  <w:r>
                    <w:rPr>
                      <w:rFonts w:hint="eastAsia" w:ascii="宋体" w:hAnsi="宋体" w:eastAsia="宋体" w:cs="Times New Roman"/>
                      <w:spacing w:val="-6"/>
                      <w:lang w:val="en-US" w:eastAsia="zh-CN"/>
                    </w:rPr>
                    <w:t>中国境内</w:t>
                  </w:r>
                </w:p>
                <w:p w14:paraId="0D089F76">
                  <w:pPr>
                    <w:pStyle w:val="23"/>
                    <w:kinsoku/>
                    <w:wordWrap w:val="0"/>
                    <w:spacing w:after="0"/>
                    <w:ind w:left="110"/>
                    <w:jc w:val="both"/>
                    <w:rPr>
                      <w:rFonts w:ascii="宋体" w:hAnsi="宋体" w:eastAsia="宋体" w:cs="Times New Roman"/>
                      <w:spacing w:val="-6"/>
                      <w:lang w:eastAsia="zh-CN"/>
                    </w:rPr>
                  </w:pPr>
                  <w:r>
                    <w:rPr>
                      <w:rFonts w:hint="eastAsia" w:ascii="宋体" w:hAnsi="宋体" w:eastAsia="宋体" w:cs="Times New Roman"/>
                      <w:spacing w:val="-6"/>
                      <w:lang w:eastAsia="zh-CN"/>
                    </w:rPr>
                    <w:t>下游：中国境内</w:t>
                  </w:r>
                </w:p>
              </w:tc>
              <w:tc>
                <w:tcPr>
                  <w:tcW w:w="3119" w:type="dxa"/>
                  <w:tcBorders>
                    <w:top w:val="single" w:color="000000" w:sz="2" w:space="0"/>
                    <w:left w:val="single" w:color="000000" w:sz="2" w:space="0"/>
                    <w:bottom w:val="single" w:color="000000" w:sz="2" w:space="0"/>
                    <w:right w:val="single" w:color="000000" w:sz="2" w:space="0"/>
                  </w:tcBorders>
                  <w:vAlign w:val="center"/>
                </w:tcPr>
                <w:p w14:paraId="1498AF7B">
                  <w:pPr>
                    <w:pStyle w:val="23"/>
                    <w:kinsoku/>
                    <w:wordWrap w:val="0"/>
                    <w:spacing w:after="0"/>
                    <w:ind w:left="113"/>
                    <w:jc w:val="both"/>
                    <w:rPr>
                      <w:rFonts w:hint="eastAsia" w:ascii="宋体" w:hAnsi="宋体" w:eastAsia="宋体" w:cs="Times New Roman"/>
                      <w:color w:val="000000" w:themeColor="text1"/>
                      <w:spacing w:val="9"/>
                      <w:lang w:val="en-US" w:eastAsia="zh-CN"/>
                      <w14:textFill>
                        <w14:solidFill>
                          <w14:schemeClr w14:val="tx1"/>
                        </w14:solidFill>
                      </w14:textFill>
                    </w:rPr>
                  </w:pPr>
                  <w:r>
                    <w:rPr>
                      <w:rFonts w:hint="eastAsia" w:ascii="宋体" w:hAnsi="宋体" w:eastAsia="宋体" w:cs="Times New Roman"/>
                      <w:color w:val="000000" w:themeColor="text1"/>
                      <w:spacing w:val="9"/>
                      <w:lang w:eastAsia="zh-CN"/>
                      <w14:textFill>
                        <w14:solidFill>
                          <w14:schemeClr w14:val="tx1"/>
                        </w14:solidFill>
                      </w14:textFill>
                    </w:rPr>
                    <w:t>上游：</w:t>
                  </w:r>
                  <w:r>
                    <w:rPr>
                      <w:rFonts w:hint="eastAsia" w:ascii="宋体" w:hAnsi="宋体" w:eastAsia="宋体" w:cs="Times New Roman"/>
                      <w:color w:val="000000" w:themeColor="text1"/>
                      <w:spacing w:val="9"/>
                      <w:lang w:val="en-US" w:eastAsia="zh-CN"/>
                      <w14:textFill>
                        <w14:solidFill>
                          <w14:schemeClr w14:val="tx1"/>
                        </w14:solidFill>
                      </w14:textFill>
                    </w:rPr>
                    <w:t>中国境内工业级双氧水市场</w:t>
                  </w:r>
                </w:p>
                <w:p w14:paraId="0E95E476">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color w:val="000000" w:themeColor="text1"/>
                      <w:spacing w:val="9"/>
                      <w:lang w:val="en-US" w:eastAsia="zh-CN"/>
                      <w14:textFill>
                        <w14:solidFill>
                          <w14:schemeClr w14:val="tx1"/>
                        </w14:solidFill>
                      </w14:textFill>
                    </w:rPr>
                    <w:t>华泰股份：0-5%</w:t>
                  </w:r>
                </w:p>
                <w:p w14:paraId="6F397A1E">
                  <w:pPr>
                    <w:pStyle w:val="23"/>
                    <w:kinsoku/>
                    <w:wordWrap w:val="0"/>
                    <w:spacing w:after="0"/>
                    <w:ind w:left="113"/>
                    <w:jc w:val="both"/>
                    <w:rPr>
                      <w:rFonts w:ascii="宋体" w:hAnsi="宋体" w:eastAsia="宋体" w:cs="Times New Roman"/>
                      <w:spacing w:val="9"/>
                      <w:lang w:eastAsia="zh-CN"/>
                    </w:rPr>
                  </w:pPr>
                  <w:r>
                    <w:rPr>
                      <w:rFonts w:hint="eastAsia" w:ascii="宋体" w:hAnsi="宋体" w:eastAsia="宋体" w:cs="Times New Roman"/>
                      <w:spacing w:val="9"/>
                      <w:lang w:eastAsia="zh-CN"/>
                    </w:rPr>
                    <w:t>下游：中国境内磷酸铁市场</w:t>
                  </w:r>
                </w:p>
                <w:p w14:paraId="06C892AB">
                  <w:pPr>
                    <w:pStyle w:val="23"/>
                    <w:kinsoku/>
                    <w:wordWrap w:val="0"/>
                    <w:spacing w:after="0"/>
                    <w:ind w:left="113"/>
                    <w:jc w:val="both"/>
                    <w:rPr>
                      <w:rFonts w:ascii="宋体" w:hAnsi="宋体" w:eastAsia="宋体" w:cs="Times New Roman"/>
                      <w:spacing w:val="-1"/>
                      <w:lang w:eastAsia="zh-CN"/>
                    </w:rPr>
                  </w:pPr>
                  <w:r>
                    <w:rPr>
                      <w:rFonts w:hint="eastAsia" w:ascii="宋体" w:hAnsi="宋体" w:eastAsia="宋体" w:cs="Times New Roman"/>
                      <w:spacing w:val="9"/>
                      <w:lang w:eastAsia="zh-CN"/>
                    </w:rPr>
                    <w:t>华友集团：</w:t>
                  </w:r>
                  <w:r>
                    <w:rPr>
                      <w:rFonts w:hint="eastAsia" w:ascii="宋体" w:hAnsi="宋体" w:eastAsia="宋体" w:cs="Times New Roman"/>
                      <w:spacing w:val="-1"/>
                      <w:lang w:eastAsia="zh-CN"/>
                    </w:rPr>
                    <w:t>如上所述</w:t>
                  </w:r>
                </w:p>
              </w:tc>
            </w:tr>
          </w:tbl>
          <w:p w14:paraId="06FFBAB6">
            <w:pPr>
              <w:pStyle w:val="7"/>
              <w:adjustRightInd w:val="0"/>
              <w:snapToGrid w:val="0"/>
              <w:spacing w:after="0"/>
              <w:rPr>
                <w:rFonts w:hint="default" w:ascii="Times New Roman" w:hAnsi="Times New Roman" w:eastAsia="宋体" w:cs="Times New Roman"/>
                <w:b/>
                <w:color w:val="000000" w:themeColor="text1"/>
                <w:kern w:val="0"/>
                <w:sz w:val="24"/>
                <w:szCs w:val="24"/>
                <w:lang w:val="en-US" w:eastAsia="zh-CN" w:bidi="ar-SA"/>
                <w14:textFill>
                  <w14:solidFill>
                    <w14:schemeClr w14:val="tx1"/>
                  </w14:solidFill>
                </w14:textFill>
              </w:rPr>
            </w:pPr>
          </w:p>
        </w:tc>
      </w:tr>
    </w:tbl>
    <w:p w14:paraId="4F76F315">
      <w:pPr>
        <w:keepNext w:val="0"/>
        <w:keepLines w:val="0"/>
        <w:pageBreakBefore w:val="0"/>
        <w:widowControl w:val="0"/>
        <w:kinsoku/>
        <w:wordWrap/>
        <w:overflowPunct/>
        <w:topLinePunct w:val="0"/>
        <w:autoSpaceDE/>
        <w:autoSpaceDN/>
        <w:bidi w:val="0"/>
        <w:adjustRightInd/>
        <w:snapToGrid/>
        <w:spacing w:line="20" w:lineRule="exact"/>
        <w:textAlignment w:val="auto"/>
        <w:rPr>
          <w:rFonts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Simplified Arabic">
    <w:panose1 w:val="02020603050405020304"/>
    <w:charset w:val="B2"/>
    <w:family w:val="roman"/>
    <w:pitch w:val="default"/>
    <w:sig w:usb0="00002003" w:usb1="00000000" w:usb2="00000000" w:usb3="00000000" w:csb0="00000041" w:csb1="2008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1Nzg2Yzk0OTU3YjY2MGZjZDE3YjZmMzRiYmI2NzMifQ=="/>
  </w:docVars>
  <w:rsids>
    <w:rsidRoot w:val="00172A27"/>
    <w:rsid w:val="0002772E"/>
    <w:rsid w:val="00042BDD"/>
    <w:rsid w:val="0007692D"/>
    <w:rsid w:val="00087338"/>
    <w:rsid w:val="00114814"/>
    <w:rsid w:val="00133900"/>
    <w:rsid w:val="001656F1"/>
    <w:rsid w:val="00186F4D"/>
    <w:rsid w:val="001B50F2"/>
    <w:rsid w:val="001C6148"/>
    <w:rsid w:val="001F1C3C"/>
    <w:rsid w:val="0022179C"/>
    <w:rsid w:val="00221FCA"/>
    <w:rsid w:val="00244DF9"/>
    <w:rsid w:val="00284710"/>
    <w:rsid w:val="00303ED8"/>
    <w:rsid w:val="00316BA9"/>
    <w:rsid w:val="00332EAC"/>
    <w:rsid w:val="00346B84"/>
    <w:rsid w:val="00367A54"/>
    <w:rsid w:val="004514D5"/>
    <w:rsid w:val="00481C5F"/>
    <w:rsid w:val="00490B57"/>
    <w:rsid w:val="004C4C54"/>
    <w:rsid w:val="00500F51"/>
    <w:rsid w:val="00504A56"/>
    <w:rsid w:val="00504BEC"/>
    <w:rsid w:val="00507863"/>
    <w:rsid w:val="00585738"/>
    <w:rsid w:val="00590147"/>
    <w:rsid w:val="005C4EFC"/>
    <w:rsid w:val="00615E7E"/>
    <w:rsid w:val="0062408E"/>
    <w:rsid w:val="00627CE6"/>
    <w:rsid w:val="00646E32"/>
    <w:rsid w:val="00681796"/>
    <w:rsid w:val="006A20C6"/>
    <w:rsid w:val="006B05C1"/>
    <w:rsid w:val="006C3B44"/>
    <w:rsid w:val="006D46D2"/>
    <w:rsid w:val="006E2694"/>
    <w:rsid w:val="00707821"/>
    <w:rsid w:val="0072474D"/>
    <w:rsid w:val="00734F51"/>
    <w:rsid w:val="00772A1A"/>
    <w:rsid w:val="0079077E"/>
    <w:rsid w:val="007D63FA"/>
    <w:rsid w:val="007F706B"/>
    <w:rsid w:val="00816711"/>
    <w:rsid w:val="00826195"/>
    <w:rsid w:val="008472A3"/>
    <w:rsid w:val="00876497"/>
    <w:rsid w:val="008A6D0B"/>
    <w:rsid w:val="008C2439"/>
    <w:rsid w:val="008D54A9"/>
    <w:rsid w:val="009040AD"/>
    <w:rsid w:val="00921E49"/>
    <w:rsid w:val="00925747"/>
    <w:rsid w:val="00934D60"/>
    <w:rsid w:val="00960A84"/>
    <w:rsid w:val="00A73286"/>
    <w:rsid w:val="00AB67FA"/>
    <w:rsid w:val="00AF13BF"/>
    <w:rsid w:val="00B45330"/>
    <w:rsid w:val="00B57D9E"/>
    <w:rsid w:val="00B93533"/>
    <w:rsid w:val="00BA0E32"/>
    <w:rsid w:val="00BB0219"/>
    <w:rsid w:val="00BB6F16"/>
    <w:rsid w:val="00BC4863"/>
    <w:rsid w:val="00BC4E22"/>
    <w:rsid w:val="00BD3FB4"/>
    <w:rsid w:val="00BE051D"/>
    <w:rsid w:val="00BE492B"/>
    <w:rsid w:val="00C046B3"/>
    <w:rsid w:val="00C14A25"/>
    <w:rsid w:val="00CE4CBE"/>
    <w:rsid w:val="00D11F6E"/>
    <w:rsid w:val="00D14CED"/>
    <w:rsid w:val="00D36041"/>
    <w:rsid w:val="00E262A7"/>
    <w:rsid w:val="00E40607"/>
    <w:rsid w:val="00E4263C"/>
    <w:rsid w:val="00E466FD"/>
    <w:rsid w:val="00E80370"/>
    <w:rsid w:val="00EC650F"/>
    <w:rsid w:val="00F6252F"/>
    <w:rsid w:val="00F63099"/>
    <w:rsid w:val="00F653DE"/>
    <w:rsid w:val="00F7053E"/>
    <w:rsid w:val="00F80A9D"/>
    <w:rsid w:val="00F90810"/>
    <w:rsid w:val="00F971F1"/>
    <w:rsid w:val="00FD5EA5"/>
    <w:rsid w:val="00FF42DD"/>
    <w:rsid w:val="01087875"/>
    <w:rsid w:val="011DF4EB"/>
    <w:rsid w:val="01AB455E"/>
    <w:rsid w:val="01B165CE"/>
    <w:rsid w:val="01DA5C5E"/>
    <w:rsid w:val="020779C8"/>
    <w:rsid w:val="0217304F"/>
    <w:rsid w:val="02515359"/>
    <w:rsid w:val="02E16CA8"/>
    <w:rsid w:val="02F70103"/>
    <w:rsid w:val="030806B1"/>
    <w:rsid w:val="03483348"/>
    <w:rsid w:val="03490091"/>
    <w:rsid w:val="03D70EC9"/>
    <w:rsid w:val="041475F8"/>
    <w:rsid w:val="04B425C4"/>
    <w:rsid w:val="04B85AFF"/>
    <w:rsid w:val="05AB50DB"/>
    <w:rsid w:val="06075F29"/>
    <w:rsid w:val="072729B8"/>
    <w:rsid w:val="073562D9"/>
    <w:rsid w:val="07D6476B"/>
    <w:rsid w:val="087232C3"/>
    <w:rsid w:val="08D6542E"/>
    <w:rsid w:val="08ED34FD"/>
    <w:rsid w:val="093446A7"/>
    <w:rsid w:val="09E21081"/>
    <w:rsid w:val="0AF22185"/>
    <w:rsid w:val="0B1835C3"/>
    <w:rsid w:val="0B3A5C6C"/>
    <w:rsid w:val="0B63273E"/>
    <w:rsid w:val="0BD91CE7"/>
    <w:rsid w:val="0C554F7A"/>
    <w:rsid w:val="0C6B60D7"/>
    <w:rsid w:val="0D1F1C05"/>
    <w:rsid w:val="0DE526A7"/>
    <w:rsid w:val="0DFB7F09"/>
    <w:rsid w:val="0E5C7E9D"/>
    <w:rsid w:val="0EEC791B"/>
    <w:rsid w:val="0F272A69"/>
    <w:rsid w:val="0F2B249C"/>
    <w:rsid w:val="0FA436B7"/>
    <w:rsid w:val="0FBBC6D8"/>
    <w:rsid w:val="0FCA58AB"/>
    <w:rsid w:val="10286214"/>
    <w:rsid w:val="10BE10ED"/>
    <w:rsid w:val="10C02711"/>
    <w:rsid w:val="11823EC9"/>
    <w:rsid w:val="11D03D09"/>
    <w:rsid w:val="11FC1ECD"/>
    <w:rsid w:val="12ED74AA"/>
    <w:rsid w:val="130B6D76"/>
    <w:rsid w:val="131E7C21"/>
    <w:rsid w:val="13236AF1"/>
    <w:rsid w:val="13D6674E"/>
    <w:rsid w:val="1437543F"/>
    <w:rsid w:val="143A749A"/>
    <w:rsid w:val="147D797B"/>
    <w:rsid w:val="148B0637"/>
    <w:rsid w:val="150C1E94"/>
    <w:rsid w:val="15D94F21"/>
    <w:rsid w:val="15E47716"/>
    <w:rsid w:val="164E6A70"/>
    <w:rsid w:val="1680064E"/>
    <w:rsid w:val="170576D4"/>
    <w:rsid w:val="173723BC"/>
    <w:rsid w:val="17436509"/>
    <w:rsid w:val="182A3BC2"/>
    <w:rsid w:val="19533EE7"/>
    <w:rsid w:val="199476C8"/>
    <w:rsid w:val="19E1437E"/>
    <w:rsid w:val="1A933EF5"/>
    <w:rsid w:val="1A9B628C"/>
    <w:rsid w:val="1AA11230"/>
    <w:rsid w:val="1AEB0D31"/>
    <w:rsid w:val="1AFD6EC1"/>
    <w:rsid w:val="1B2D6269"/>
    <w:rsid w:val="1B785580"/>
    <w:rsid w:val="1BEF65FF"/>
    <w:rsid w:val="1BF9394B"/>
    <w:rsid w:val="1BF9AB71"/>
    <w:rsid w:val="1C1B3B19"/>
    <w:rsid w:val="1C361957"/>
    <w:rsid w:val="1CC31397"/>
    <w:rsid w:val="1D8B4DA1"/>
    <w:rsid w:val="1DA24124"/>
    <w:rsid w:val="1DFE30C6"/>
    <w:rsid w:val="1EF71A09"/>
    <w:rsid w:val="1EFED7F2"/>
    <w:rsid w:val="1F2073B8"/>
    <w:rsid w:val="1FC81833"/>
    <w:rsid w:val="1FDFF0AB"/>
    <w:rsid w:val="1FE72BC6"/>
    <w:rsid w:val="20320ECE"/>
    <w:rsid w:val="20341A99"/>
    <w:rsid w:val="20815B54"/>
    <w:rsid w:val="20C2797E"/>
    <w:rsid w:val="20F82768"/>
    <w:rsid w:val="21472A39"/>
    <w:rsid w:val="215B059A"/>
    <w:rsid w:val="21BD7D11"/>
    <w:rsid w:val="21FFC12F"/>
    <w:rsid w:val="22151D28"/>
    <w:rsid w:val="244D0366"/>
    <w:rsid w:val="24606B41"/>
    <w:rsid w:val="246456B0"/>
    <w:rsid w:val="246736EB"/>
    <w:rsid w:val="24840815"/>
    <w:rsid w:val="24961512"/>
    <w:rsid w:val="24BE4747"/>
    <w:rsid w:val="25C17900"/>
    <w:rsid w:val="25DD4311"/>
    <w:rsid w:val="261144B9"/>
    <w:rsid w:val="26606A77"/>
    <w:rsid w:val="26627377"/>
    <w:rsid w:val="27B435B3"/>
    <w:rsid w:val="27CC09EF"/>
    <w:rsid w:val="27ED6C10"/>
    <w:rsid w:val="281C288D"/>
    <w:rsid w:val="283265FA"/>
    <w:rsid w:val="28361ADD"/>
    <w:rsid w:val="289A6D28"/>
    <w:rsid w:val="29826D04"/>
    <w:rsid w:val="2A0C211C"/>
    <w:rsid w:val="2A60184B"/>
    <w:rsid w:val="2AA41F53"/>
    <w:rsid w:val="2AF55222"/>
    <w:rsid w:val="2B163BA8"/>
    <w:rsid w:val="2B795B9C"/>
    <w:rsid w:val="2C0A4D8F"/>
    <w:rsid w:val="2C0C7CCC"/>
    <w:rsid w:val="2CAC25FF"/>
    <w:rsid w:val="2D0217A7"/>
    <w:rsid w:val="2D123945"/>
    <w:rsid w:val="2D522E91"/>
    <w:rsid w:val="2DA7BB6E"/>
    <w:rsid w:val="2DE926AB"/>
    <w:rsid w:val="2DFF8C0F"/>
    <w:rsid w:val="2ECF569F"/>
    <w:rsid w:val="2F0902B7"/>
    <w:rsid w:val="2F873425"/>
    <w:rsid w:val="2FD63906"/>
    <w:rsid w:val="2FEDBF98"/>
    <w:rsid w:val="301601A6"/>
    <w:rsid w:val="3025112D"/>
    <w:rsid w:val="306F1D95"/>
    <w:rsid w:val="31687D65"/>
    <w:rsid w:val="319E78FD"/>
    <w:rsid w:val="32D45EFE"/>
    <w:rsid w:val="33291F9F"/>
    <w:rsid w:val="332B297E"/>
    <w:rsid w:val="339B1A7D"/>
    <w:rsid w:val="33DF2E4E"/>
    <w:rsid w:val="33E34AE7"/>
    <w:rsid w:val="341C1B03"/>
    <w:rsid w:val="34390907"/>
    <w:rsid w:val="34527864"/>
    <w:rsid w:val="356065C1"/>
    <w:rsid w:val="35741F7B"/>
    <w:rsid w:val="35927D49"/>
    <w:rsid w:val="35AA4056"/>
    <w:rsid w:val="36647739"/>
    <w:rsid w:val="36722108"/>
    <w:rsid w:val="36A67819"/>
    <w:rsid w:val="37736187"/>
    <w:rsid w:val="37DFC498"/>
    <w:rsid w:val="37EC4B4C"/>
    <w:rsid w:val="38EF19B1"/>
    <w:rsid w:val="395A55A8"/>
    <w:rsid w:val="3A7D25F4"/>
    <w:rsid w:val="3AE3337B"/>
    <w:rsid w:val="3B6C128B"/>
    <w:rsid w:val="3BE153E8"/>
    <w:rsid w:val="3BF20937"/>
    <w:rsid w:val="3BF42FA2"/>
    <w:rsid w:val="3BFE8C88"/>
    <w:rsid w:val="3C1B3849"/>
    <w:rsid w:val="3C5203FE"/>
    <w:rsid w:val="3C982B28"/>
    <w:rsid w:val="3D015043"/>
    <w:rsid w:val="3D8FE1AF"/>
    <w:rsid w:val="3DBE0E38"/>
    <w:rsid w:val="3DCF2C73"/>
    <w:rsid w:val="3E3B322A"/>
    <w:rsid w:val="3E4AEAFC"/>
    <w:rsid w:val="3E671EB3"/>
    <w:rsid w:val="3E6F2B57"/>
    <w:rsid w:val="3EB7365E"/>
    <w:rsid w:val="3EBE2D3F"/>
    <w:rsid w:val="3EBE7DF6"/>
    <w:rsid w:val="3ED7D01C"/>
    <w:rsid w:val="3EE73D98"/>
    <w:rsid w:val="3EFF0DF0"/>
    <w:rsid w:val="3F642A87"/>
    <w:rsid w:val="3F7F6751"/>
    <w:rsid w:val="3FB6105D"/>
    <w:rsid w:val="3FF1EAFD"/>
    <w:rsid w:val="3FFF34CA"/>
    <w:rsid w:val="3FFFF255"/>
    <w:rsid w:val="3FFFF7A9"/>
    <w:rsid w:val="40454BCA"/>
    <w:rsid w:val="40D7777E"/>
    <w:rsid w:val="40E3190E"/>
    <w:rsid w:val="4129118D"/>
    <w:rsid w:val="41D779C0"/>
    <w:rsid w:val="426C6CEB"/>
    <w:rsid w:val="436E421B"/>
    <w:rsid w:val="43D81ACB"/>
    <w:rsid w:val="43E353FE"/>
    <w:rsid w:val="443B7A46"/>
    <w:rsid w:val="443B7D84"/>
    <w:rsid w:val="44EF696F"/>
    <w:rsid w:val="45A801C9"/>
    <w:rsid w:val="45E92E66"/>
    <w:rsid w:val="463C27E0"/>
    <w:rsid w:val="46845245"/>
    <w:rsid w:val="46F216C3"/>
    <w:rsid w:val="47226FD9"/>
    <w:rsid w:val="48247180"/>
    <w:rsid w:val="48567BBA"/>
    <w:rsid w:val="48604985"/>
    <w:rsid w:val="48C332AF"/>
    <w:rsid w:val="48DB4B1D"/>
    <w:rsid w:val="48FE2C64"/>
    <w:rsid w:val="4935600E"/>
    <w:rsid w:val="49857111"/>
    <w:rsid w:val="498A72A0"/>
    <w:rsid w:val="4A280DAA"/>
    <w:rsid w:val="4B44740D"/>
    <w:rsid w:val="4BED5B46"/>
    <w:rsid w:val="4C824703"/>
    <w:rsid w:val="4CC01CF8"/>
    <w:rsid w:val="4CFB2073"/>
    <w:rsid w:val="4CFD75DE"/>
    <w:rsid w:val="4D022B50"/>
    <w:rsid w:val="4D533669"/>
    <w:rsid w:val="4D611881"/>
    <w:rsid w:val="4D8A03D2"/>
    <w:rsid w:val="4DB67BAD"/>
    <w:rsid w:val="4DBF710D"/>
    <w:rsid w:val="4E037B64"/>
    <w:rsid w:val="4E585190"/>
    <w:rsid w:val="4E626EA5"/>
    <w:rsid w:val="4F7D0643"/>
    <w:rsid w:val="4FE343BE"/>
    <w:rsid w:val="4FF5C7C4"/>
    <w:rsid w:val="505C355C"/>
    <w:rsid w:val="50CB3BDA"/>
    <w:rsid w:val="51036EF4"/>
    <w:rsid w:val="511505E7"/>
    <w:rsid w:val="51C80456"/>
    <w:rsid w:val="522432EB"/>
    <w:rsid w:val="5260460E"/>
    <w:rsid w:val="5275657D"/>
    <w:rsid w:val="535B1AD6"/>
    <w:rsid w:val="53701092"/>
    <w:rsid w:val="537FCB57"/>
    <w:rsid w:val="53DE53F7"/>
    <w:rsid w:val="53F37CA4"/>
    <w:rsid w:val="549363D0"/>
    <w:rsid w:val="54A03EDC"/>
    <w:rsid w:val="54D26C3D"/>
    <w:rsid w:val="54DD7AC9"/>
    <w:rsid w:val="553B64CC"/>
    <w:rsid w:val="55413F6A"/>
    <w:rsid w:val="556C3BF9"/>
    <w:rsid w:val="558A3AEC"/>
    <w:rsid w:val="55F5B344"/>
    <w:rsid w:val="55FF4F39"/>
    <w:rsid w:val="563C0C84"/>
    <w:rsid w:val="567C47AD"/>
    <w:rsid w:val="568C7EFA"/>
    <w:rsid w:val="569C2904"/>
    <w:rsid w:val="571B1B2F"/>
    <w:rsid w:val="5721053D"/>
    <w:rsid w:val="57472441"/>
    <w:rsid w:val="57F473E9"/>
    <w:rsid w:val="587873A1"/>
    <w:rsid w:val="59206465"/>
    <w:rsid w:val="59927FEE"/>
    <w:rsid w:val="599B7F54"/>
    <w:rsid w:val="59D80FE8"/>
    <w:rsid w:val="5A320350"/>
    <w:rsid w:val="5A4E1134"/>
    <w:rsid w:val="5A8F5421"/>
    <w:rsid w:val="5AAB1367"/>
    <w:rsid w:val="5AB377AC"/>
    <w:rsid w:val="5AD242B6"/>
    <w:rsid w:val="5ADB7A9F"/>
    <w:rsid w:val="5B14449E"/>
    <w:rsid w:val="5B9E2C7A"/>
    <w:rsid w:val="5BDF7AA8"/>
    <w:rsid w:val="5BFA4577"/>
    <w:rsid w:val="5BFF15E9"/>
    <w:rsid w:val="5C1B2572"/>
    <w:rsid w:val="5CC770F3"/>
    <w:rsid w:val="5CF709BF"/>
    <w:rsid w:val="5D633CB1"/>
    <w:rsid w:val="5DE93B9C"/>
    <w:rsid w:val="5DFF5221"/>
    <w:rsid w:val="5E606197"/>
    <w:rsid w:val="5E758AD3"/>
    <w:rsid w:val="5E872C42"/>
    <w:rsid w:val="5EB54DAB"/>
    <w:rsid w:val="5EFFEB53"/>
    <w:rsid w:val="5F3A59C0"/>
    <w:rsid w:val="5F3C2655"/>
    <w:rsid w:val="5F4C72AD"/>
    <w:rsid w:val="5F5B3889"/>
    <w:rsid w:val="5F7404E1"/>
    <w:rsid w:val="5FD337B9"/>
    <w:rsid w:val="5FDBF934"/>
    <w:rsid w:val="5FDD3B5D"/>
    <w:rsid w:val="5FDD699A"/>
    <w:rsid w:val="5FEF6B7F"/>
    <w:rsid w:val="5FF69754"/>
    <w:rsid w:val="5FFA71E6"/>
    <w:rsid w:val="60600E46"/>
    <w:rsid w:val="60B85CFA"/>
    <w:rsid w:val="61A27DB8"/>
    <w:rsid w:val="61AC7C2D"/>
    <w:rsid w:val="61F32521"/>
    <w:rsid w:val="62A95BE3"/>
    <w:rsid w:val="62FE2ACC"/>
    <w:rsid w:val="63CE0698"/>
    <w:rsid w:val="63E8185B"/>
    <w:rsid w:val="63F6661D"/>
    <w:rsid w:val="642A1C4A"/>
    <w:rsid w:val="64990483"/>
    <w:rsid w:val="64F94FB6"/>
    <w:rsid w:val="64FF0119"/>
    <w:rsid w:val="650C61D5"/>
    <w:rsid w:val="65183212"/>
    <w:rsid w:val="654F569B"/>
    <w:rsid w:val="65752CAF"/>
    <w:rsid w:val="65AC0421"/>
    <w:rsid w:val="65C94540"/>
    <w:rsid w:val="65F4A48C"/>
    <w:rsid w:val="662674F5"/>
    <w:rsid w:val="66EF9058"/>
    <w:rsid w:val="67090219"/>
    <w:rsid w:val="67532E54"/>
    <w:rsid w:val="6754015D"/>
    <w:rsid w:val="676B6497"/>
    <w:rsid w:val="677B0DDC"/>
    <w:rsid w:val="67885F66"/>
    <w:rsid w:val="67D469E8"/>
    <w:rsid w:val="67DB7BB9"/>
    <w:rsid w:val="67FB6F24"/>
    <w:rsid w:val="685D233B"/>
    <w:rsid w:val="68E175B6"/>
    <w:rsid w:val="68ED6FEF"/>
    <w:rsid w:val="69140A20"/>
    <w:rsid w:val="6978328D"/>
    <w:rsid w:val="69C0748D"/>
    <w:rsid w:val="6A0942FC"/>
    <w:rsid w:val="6A7D30C3"/>
    <w:rsid w:val="6ABB6FCD"/>
    <w:rsid w:val="6AD438DD"/>
    <w:rsid w:val="6AFF300A"/>
    <w:rsid w:val="6B5CFEDC"/>
    <w:rsid w:val="6B9261CD"/>
    <w:rsid w:val="6B935AA5"/>
    <w:rsid w:val="6B9A71CB"/>
    <w:rsid w:val="6BCB1BF4"/>
    <w:rsid w:val="6BCC0CB3"/>
    <w:rsid w:val="6BEBF20E"/>
    <w:rsid w:val="6C45316D"/>
    <w:rsid w:val="6C5FFDFD"/>
    <w:rsid w:val="6CA65B6F"/>
    <w:rsid w:val="6CBE075E"/>
    <w:rsid w:val="6CBF87B4"/>
    <w:rsid w:val="6D7B05E6"/>
    <w:rsid w:val="6DBE9C49"/>
    <w:rsid w:val="6DC30C82"/>
    <w:rsid w:val="6DDA538F"/>
    <w:rsid w:val="6DDED766"/>
    <w:rsid w:val="6DEFBAE0"/>
    <w:rsid w:val="6E372E5F"/>
    <w:rsid w:val="6E3FE820"/>
    <w:rsid w:val="6E786ABC"/>
    <w:rsid w:val="6E7C0B6B"/>
    <w:rsid w:val="6E954194"/>
    <w:rsid w:val="6EBE3907"/>
    <w:rsid w:val="6F538C10"/>
    <w:rsid w:val="6F6E1640"/>
    <w:rsid w:val="6FAD6E24"/>
    <w:rsid w:val="6FB7F940"/>
    <w:rsid w:val="6FC1631A"/>
    <w:rsid w:val="6FDF5799"/>
    <w:rsid w:val="6FE85134"/>
    <w:rsid w:val="6FEFA4E2"/>
    <w:rsid w:val="6FFB3825"/>
    <w:rsid w:val="6FFDD266"/>
    <w:rsid w:val="706C5090"/>
    <w:rsid w:val="710A7485"/>
    <w:rsid w:val="71394751"/>
    <w:rsid w:val="71402523"/>
    <w:rsid w:val="72131803"/>
    <w:rsid w:val="722C32D0"/>
    <w:rsid w:val="723024E6"/>
    <w:rsid w:val="72777687"/>
    <w:rsid w:val="73026B48"/>
    <w:rsid w:val="735D723C"/>
    <w:rsid w:val="737A6056"/>
    <w:rsid w:val="737FE4CC"/>
    <w:rsid w:val="7447B6BF"/>
    <w:rsid w:val="74566BED"/>
    <w:rsid w:val="74CE550B"/>
    <w:rsid w:val="74E476E3"/>
    <w:rsid w:val="74FA9F2D"/>
    <w:rsid w:val="751B0A84"/>
    <w:rsid w:val="752B15CB"/>
    <w:rsid w:val="755F49C7"/>
    <w:rsid w:val="75A34AC0"/>
    <w:rsid w:val="75BA7893"/>
    <w:rsid w:val="75FD2329"/>
    <w:rsid w:val="75FE8BDD"/>
    <w:rsid w:val="763FAA27"/>
    <w:rsid w:val="765FAA54"/>
    <w:rsid w:val="767FE0B3"/>
    <w:rsid w:val="76AFBFF1"/>
    <w:rsid w:val="76BF73B6"/>
    <w:rsid w:val="76CA40F3"/>
    <w:rsid w:val="771C20E9"/>
    <w:rsid w:val="77496BC0"/>
    <w:rsid w:val="77527FDF"/>
    <w:rsid w:val="775F275F"/>
    <w:rsid w:val="777BD1C3"/>
    <w:rsid w:val="777D1E86"/>
    <w:rsid w:val="777FCD8F"/>
    <w:rsid w:val="77960090"/>
    <w:rsid w:val="77A0AA49"/>
    <w:rsid w:val="77AFF4F6"/>
    <w:rsid w:val="77AFF73C"/>
    <w:rsid w:val="77DFDD5B"/>
    <w:rsid w:val="77FB42A6"/>
    <w:rsid w:val="77FBAA8E"/>
    <w:rsid w:val="77FF6A8C"/>
    <w:rsid w:val="77FF8866"/>
    <w:rsid w:val="77FFCFC3"/>
    <w:rsid w:val="78410251"/>
    <w:rsid w:val="789D5404"/>
    <w:rsid w:val="793FB7A1"/>
    <w:rsid w:val="79EC0BFB"/>
    <w:rsid w:val="79FA9BCD"/>
    <w:rsid w:val="7A66B182"/>
    <w:rsid w:val="7A9C06E1"/>
    <w:rsid w:val="7AB91678"/>
    <w:rsid w:val="7B534FF9"/>
    <w:rsid w:val="7B7B414A"/>
    <w:rsid w:val="7B8F578C"/>
    <w:rsid w:val="7B9A66EF"/>
    <w:rsid w:val="7BAB6FC2"/>
    <w:rsid w:val="7BD6EBF8"/>
    <w:rsid w:val="7BE411F0"/>
    <w:rsid w:val="7BE78EC0"/>
    <w:rsid w:val="7BFDD557"/>
    <w:rsid w:val="7BFFD823"/>
    <w:rsid w:val="7C235B45"/>
    <w:rsid w:val="7C640D1E"/>
    <w:rsid w:val="7C7918BC"/>
    <w:rsid w:val="7CCB66D7"/>
    <w:rsid w:val="7CFFE32C"/>
    <w:rsid w:val="7D6F58DB"/>
    <w:rsid w:val="7DCE664D"/>
    <w:rsid w:val="7DDC0FE0"/>
    <w:rsid w:val="7DDFC877"/>
    <w:rsid w:val="7E9DA405"/>
    <w:rsid w:val="7EBEB929"/>
    <w:rsid w:val="7EE72273"/>
    <w:rsid w:val="7EEB5729"/>
    <w:rsid w:val="7EF16FA7"/>
    <w:rsid w:val="7EF7CDD2"/>
    <w:rsid w:val="7F23145A"/>
    <w:rsid w:val="7F543923"/>
    <w:rsid w:val="7F7BEB9D"/>
    <w:rsid w:val="7F7F4275"/>
    <w:rsid w:val="7F9E584B"/>
    <w:rsid w:val="7F9F8D24"/>
    <w:rsid w:val="7FB70FD4"/>
    <w:rsid w:val="7FBBDAF9"/>
    <w:rsid w:val="7FBF2495"/>
    <w:rsid w:val="7FD59461"/>
    <w:rsid w:val="7FDBE98D"/>
    <w:rsid w:val="7FDCAB43"/>
    <w:rsid w:val="7FE15510"/>
    <w:rsid w:val="7FE91E78"/>
    <w:rsid w:val="7FEB3232"/>
    <w:rsid w:val="7FF500C7"/>
    <w:rsid w:val="7FFBA8A6"/>
    <w:rsid w:val="7FFDE69B"/>
    <w:rsid w:val="8A379C7D"/>
    <w:rsid w:val="8AD7B623"/>
    <w:rsid w:val="977FC8CB"/>
    <w:rsid w:val="9B3165F2"/>
    <w:rsid w:val="9BFF3CF8"/>
    <w:rsid w:val="9CBD0B1A"/>
    <w:rsid w:val="9D7F0CB7"/>
    <w:rsid w:val="9EF781DE"/>
    <w:rsid w:val="9F67B1E1"/>
    <w:rsid w:val="A7F9C1DE"/>
    <w:rsid w:val="A9AD231D"/>
    <w:rsid w:val="ADFAC79E"/>
    <w:rsid w:val="AE7E1E17"/>
    <w:rsid w:val="AFC56981"/>
    <w:rsid w:val="B32F9DC2"/>
    <w:rsid w:val="B593FB7D"/>
    <w:rsid w:val="B75FE11F"/>
    <w:rsid w:val="B77B2A12"/>
    <w:rsid w:val="B9B92832"/>
    <w:rsid w:val="BBEF9792"/>
    <w:rsid w:val="BBF7C791"/>
    <w:rsid w:val="BCB7048F"/>
    <w:rsid w:val="BCF89F06"/>
    <w:rsid w:val="BD0F8C47"/>
    <w:rsid w:val="BEAF73DD"/>
    <w:rsid w:val="BEEE2B94"/>
    <w:rsid w:val="BF3E17A4"/>
    <w:rsid w:val="BF4F4689"/>
    <w:rsid w:val="BF8E36EE"/>
    <w:rsid w:val="BFAF0BB7"/>
    <w:rsid w:val="BFDFB85E"/>
    <w:rsid w:val="BFEDABFC"/>
    <w:rsid w:val="BFF739EC"/>
    <w:rsid w:val="BFF7D663"/>
    <w:rsid w:val="C3F5BA26"/>
    <w:rsid w:val="CB7D0B2D"/>
    <w:rsid w:val="CB9C4B68"/>
    <w:rsid w:val="CD7F54D6"/>
    <w:rsid w:val="CDCB4AA8"/>
    <w:rsid w:val="CDDEA08E"/>
    <w:rsid w:val="CF7F6B7D"/>
    <w:rsid w:val="D3F22235"/>
    <w:rsid w:val="D49B5E3D"/>
    <w:rsid w:val="D5B58DC7"/>
    <w:rsid w:val="D5DB8D8A"/>
    <w:rsid w:val="DB33A89B"/>
    <w:rsid w:val="DDAF5738"/>
    <w:rsid w:val="DDEFBA43"/>
    <w:rsid w:val="DDEFC054"/>
    <w:rsid w:val="DEAFB90F"/>
    <w:rsid w:val="DF21B821"/>
    <w:rsid w:val="DFBFBE16"/>
    <w:rsid w:val="DFD76A11"/>
    <w:rsid w:val="DFE797EB"/>
    <w:rsid w:val="DFEFC715"/>
    <w:rsid w:val="DFFF4786"/>
    <w:rsid w:val="E1B76C47"/>
    <w:rsid w:val="E3FE57E7"/>
    <w:rsid w:val="E6B7D24D"/>
    <w:rsid w:val="E6F77E68"/>
    <w:rsid w:val="E7BDE424"/>
    <w:rsid w:val="E7FF3C97"/>
    <w:rsid w:val="E7FFE685"/>
    <w:rsid w:val="E8D79DF8"/>
    <w:rsid w:val="E9F71F09"/>
    <w:rsid w:val="EAFD8D58"/>
    <w:rsid w:val="EB6C770B"/>
    <w:rsid w:val="EB7DD7C9"/>
    <w:rsid w:val="EBCD181E"/>
    <w:rsid w:val="EBDB640E"/>
    <w:rsid w:val="EBFF7898"/>
    <w:rsid w:val="ED9DB8D5"/>
    <w:rsid w:val="EDFF0807"/>
    <w:rsid w:val="EEC40EE9"/>
    <w:rsid w:val="EF7F4E2A"/>
    <w:rsid w:val="EF7F9BE8"/>
    <w:rsid w:val="EFCDBC8D"/>
    <w:rsid w:val="EFFFDD70"/>
    <w:rsid w:val="F1B778F1"/>
    <w:rsid w:val="F3FF743F"/>
    <w:rsid w:val="F4FF55F7"/>
    <w:rsid w:val="F5F7F5CB"/>
    <w:rsid w:val="F5F97876"/>
    <w:rsid w:val="F76CF7E9"/>
    <w:rsid w:val="F7B75D8A"/>
    <w:rsid w:val="F7DDD9EA"/>
    <w:rsid w:val="F7E39E90"/>
    <w:rsid w:val="F7EFF966"/>
    <w:rsid w:val="F7FD911C"/>
    <w:rsid w:val="F8EE49FF"/>
    <w:rsid w:val="F9DF2CA6"/>
    <w:rsid w:val="F9E8B31E"/>
    <w:rsid w:val="FB3326CC"/>
    <w:rsid w:val="FB9F5A91"/>
    <w:rsid w:val="FB9FDE2D"/>
    <w:rsid w:val="FBCE4D19"/>
    <w:rsid w:val="FBDBEF41"/>
    <w:rsid w:val="FBFE1D07"/>
    <w:rsid w:val="FBFF5E75"/>
    <w:rsid w:val="FCAB2178"/>
    <w:rsid w:val="FD4FEBD9"/>
    <w:rsid w:val="FD6F06FA"/>
    <w:rsid w:val="FDBF10AA"/>
    <w:rsid w:val="FDBF3869"/>
    <w:rsid w:val="FDBFFDC9"/>
    <w:rsid w:val="FDD6A258"/>
    <w:rsid w:val="FDFE7162"/>
    <w:rsid w:val="FE4F1E64"/>
    <w:rsid w:val="FE5FA0A2"/>
    <w:rsid w:val="FEAEC70B"/>
    <w:rsid w:val="FEBD1401"/>
    <w:rsid w:val="FEF339DB"/>
    <w:rsid w:val="FEFB2882"/>
    <w:rsid w:val="FEFD2C3B"/>
    <w:rsid w:val="FF57FBD6"/>
    <w:rsid w:val="FF5F2CB5"/>
    <w:rsid w:val="FF5FC2B3"/>
    <w:rsid w:val="FF7645E0"/>
    <w:rsid w:val="FFB70466"/>
    <w:rsid w:val="FFBC3961"/>
    <w:rsid w:val="FFCF003E"/>
    <w:rsid w:val="FFEE6CF6"/>
    <w:rsid w:val="FFFF2AF3"/>
    <w:rsid w:val="FFFF3A53"/>
    <w:rsid w:val="FFFF9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9"/>
    <w:pPr>
      <w:spacing w:after="156" w:afterLines="50" w:line="640" w:lineRule="exact"/>
      <w:outlineLvl w:val="0"/>
    </w:pPr>
    <w:rPr>
      <w:rFonts w:ascii="方正小标宋简体" w:eastAsia="方正小标宋简体"/>
      <w:sz w:val="44"/>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 w:type="paragraph" w:styleId="5">
    <w:name w:val="Normal Indent"/>
    <w:basedOn w:val="1"/>
    <w:next w:val="1"/>
    <w:qFormat/>
    <w:uiPriority w:val="99"/>
  </w:style>
  <w:style w:type="paragraph" w:styleId="6">
    <w:name w:val="annotation text"/>
    <w:basedOn w:val="1"/>
    <w:qFormat/>
    <w:uiPriority w:val="0"/>
    <w:pPr>
      <w:jc w:val="left"/>
    </w:pPr>
  </w:style>
  <w:style w:type="paragraph" w:styleId="7">
    <w:name w:val="Body Text"/>
    <w:basedOn w:val="1"/>
    <w:link w:val="19"/>
    <w:unhideWhenUsed/>
    <w:qFormat/>
    <w:uiPriority w:val="99"/>
    <w:pPr>
      <w:spacing w:after="120"/>
    </w:p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toc 2"/>
    <w:basedOn w:val="1"/>
    <w:next w:val="1"/>
    <w:qFormat/>
    <w:uiPriority w:val="0"/>
    <w:pPr>
      <w:ind w:left="420" w:leftChars="200"/>
    </w:pPr>
    <w:rPr>
      <w:sz w:val="30"/>
    </w:rPr>
  </w:style>
  <w:style w:type="paragraph" w:styleId="11">
    <w:name w:val="Body Text First Indent"/>
    <w:basedOn w:val="7"/>
    <w:qFormat/>
    <w:uiPriority w:val="0"/>
    <w:pPr>
      <w:ind w:firstLine="420" w:firstLineChars="100"/>
    </w:p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page number"/>
    <w:qFormat/>
    <w:uiPriority w:val="0"/>
    <w:rPr>
      <w:rFonts w:ascii="Times New Roman" w:hAnsi="Times New Roman" w:eastAsia="宋体" w:cs="Simplified Arabic"/>
      <w:sz w:val="24"/>
      <w:szCs w:val="24"/>
      <w:lang w:val="en-GB" w:bidi="ar-AE"/>
    </w:rPr>
  </w:style>
  <w:style w:type="character" w:styleId="16">
    <w:name w:val="annotation reference"/>
    <w:basedOn w:val="14"/>
    <w:qFormat/>
    <w:uiPriority w:val="0"/>
    <w:rPr>
      <w:sz w:val="21"/>
      <w:szCs w:val="21"/>
    </w:rPr>
  </w:style>
  <w:style w:type="character" w:customStyle="1" w:styleId="17">
    <w:name w:val="页眉 字符"/>
    <w:basedOn w:val="14"/>
    <w:link w:val="9"/>
    <w:qFormat/>
    <w:uiPriority w:val="0"/>
    <w:rPr>
      <w:rFonts w:ascii="Times New Roman" w:hAnsi="Times New Roman" w:eastAsia="宋体" w:cs="Times New Roman"/>
      <w:kern w:val="2"/>
      <w:sz w:val="18"/>
      <w:szCs w:val="18"/>
    </w:rPr>
  </w:style>
  <w:style w:type="character" w:customStyle="1" w:styleId="18">
    <w:name w:val="页脚 字符"/>
    <w:basedOn w:val="14"/>
    <w:link w:val="8"/>
    <w:qFormat/>
    <w:uiPriority w:val="0"/>
    <w:rPr>
      <w:rFonts w:ascii="Times New Roman" w:hAnsi="Times New Roman" w:eastAsia="宋体" w:cs="Times New Roman"/>
      <w:kern w:val="2"/>
      <w:sz w:val="18"/>
      <w:szCs w:val="18"/>
    </w:rPr>
  </w:style>
  <w:style w:type="character" w:customStyle="1" w:styleId="19">
    <w:name w:val="正文文本 字符"/>
    <w:basedOn w:val="14"/>
    <w:link w:val="7"/>
    <w:qFormat/>
    <w:uiPriority w:val="99"/>
    <w:rPr>
      <w:rFonts w:ascii="Times New Roman" w:hAnsi="Times New Roman" w:eastAsia="宋体" w:cs="Times New Roman"/>
      <w:kern w:val="2"/>
      <w:sz w:val="21"/>
      <w:szCs w:val="24"/>
    </w:rPr>
  </w:style>
  <w:style w:type="paragraph" w:styleId="20">
    <w:name w:val="List Paragraph"/>
    <w:basedOn w:val="1"/>
    <w:qFormat/>
    <w:uiPriority w:val="99"/>
    <w:pPr>
      <w:ind w:firstLine="420" w:firstLineChars="200"/>
    </w:pPr>
  </w:style>
  <w:style w:type="paragraph" w:customStyle="1" w:styleId="21">
    <w:name w:val="Footer Right"/>
    <w:basedOn w:val="8"/>
    <w:qFormat/>
    <w:uiPriority w:val="0"/>
    <w:pPr>
      <w:jc w:val="right"/>
    </w:pPr>
  </w:style>
  <w:style w:type="paragraph" w:customStyle="1" w:styleId="22">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23">
    <w:name w:val="Table Text"/>
    <w:basedOn w:val="1"/>
    <w:semiHidden/>
    <w:qFormat/>
    <w:uiPriority w:val="0"/>
    <w:rPr>
      <w:rFonts w:ascii="微软雅黑" w:hAnsi="微软雅黑" w:eastAsia="微软雅黑" w:cs="微软雅黑"/>
      <w:sz w:val="24"/>
      <w:szCs w:val="24"/>
    </w:rPr>
  </w:style>
  <w:style w:type="table" w:customStyle="1" w:styleId="2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其他省直机关单位</Company>
  <Pages>2</Pages>
  <Words>2254</Words>
  <Characters>2398</Characters>
  <Lines>1</Lines>
  <Paragraphs>1</Paragraphs>
  <TotalTime>22</TotalTime>
  <ScaleCrop>false</ScaleCrop>
  <LinksUpToDate>false</LinksUpToDate>
  <CharactersWithSpaces>3261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2025-02-24T17:36:00Z</dcterms:created>
  <dc:creator>张斌（反垄断处）</dc:creator>
  <cp:lastModifiedBy>郑玉丽</cp:lastModifiedBy>
  <cp:lastPrinted>2025-08-21T09:06:00Z</cp:lastPrinted>
  <dcterms:modified xsi:type="dcterms:W3CDTF">2026-02-11T02:26:47Z</dcterms:modified>
  <dc:title>关于经营者集中反垄断审查案件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323B0B934154422AA9CF8A694F189E58_43</vt:lpwstr>
  </property>
  <property fmtid="{D5CDD505-2E9C-101B-9397-08002B2CF9AE}" pid="4" name="KSOTemplateDocerSaveRecord">
    <vt:lpwstr>eyJoZGlkIjoiODNjM2VkZWUwYjdkZDYzZGY2NmZiZGNiZGIyMjFjYWIiLCJ1c2VySWQiOiIxMjE0ODEzMDc5In0=</vt:lpwstr>
  </property>
</Properties>
</file>